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B2" w:rsidRDefault="00D779B2">
      <w:r>
        <w:t xml:space="preserve"> </w:t>
      </w:r>
    </w:p>
    <w:sdt>
      <w:sdtPr>
        <w:id w:val="-1465654646"/>
        <w:docPartObj>
          <w:docPartGallery w:val="Cover Pages"/>
          <w:docPartUnique/>
        </w:docPartObj>
      </w:sdtPr>
      <w:sdtEndPr>
        <w:rPr>
          <w:color w:val="FFFFFF" w:themeColor="background1"/>
          <w:sz w:val="72"/>
          <w:szCs w:val="72"/>
        </w:rPr>
      </w:sdtEndPr>
      <w:sdtContent>
        <w:p w:rsidR="00F36BDB" w:rsidRDefault="00F36BDB">
          <w:r>
            <w:rPr>
              <w:noProof/>
              <w:lang w:eastAsia="fi-FI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258885</wp:posOffset>
                    </wp:positionH>
                    <wp:positionV relativeFrom="page">
                      <wp:posOffset>310545</wp:posOffset>
                    </wp:positionV>
                    <wp:extent cx="7315200" cy="1215391"/>
                    <wp:effectExtent l="0" t="0" r="1270" b="1905"/>
                    <wp:wrapNone/>
                    <wp:docPr id="149" name="Ryhmä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DC1E7D2" id="Ryhmä 149" o:spid="_x0000_s1026" style="position:absolute;margin-left:20.4pt;margin-top:24.45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x3wTd3gAAAAoBAAAPAAAAZHJzL2Rvd25yZXYu&#10;eG1sTI/BTsMwEETvSPyDtUjcqJ0QVW2IU1EkPoCCqh7deEmixus0dtqEr2d7gtNqd1Yzb4rN5Dpx&#10;wSG0njQkCwUCqfK2pVrD1+f70wpEiIas6TyhhhkDbMr7u8Lk1l/pAy+7WAs2oZAbDU2MfS5lqBp0&#10;Jix8j8Tatx+cibwOtbSDubK562Sq1FI60xInNKbHtwar0250nHtIt2PyM88kD/vTtp+X5zE7a/34&#10;ML2+gIg4xb9nuOEzOpTMdPQj2SA6DZli8shztQZx05N1ypejhjRTzyDLQv6vUP4C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">
                    <v:shape id="Suorakulmi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Suorakulmi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052C95" w:rsidRDefault="00052C95">
          <w:pPr>
            <w:rPr>
              <w:color w:val="FFFFFF" w:themeColor="background1"/>
              <w:sz w:val="72"/>
              <w:szCs w:val="72"/>
            </w:rPr>
          </w:pPr>
        </w:p>
        <w:p w:rsidR="009A6729" w:rsidRPr="009A6729" w:rsidRDefault="006A24BF">
          <w:pPr>
            <w:rPr>
              <w:color w:val="5B9BD5" w:themeColor="accent1"/>
              <w:sz w:val="48"/>
              <w:szCs w:val="4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4165600"/>
                    <wp:effectExtent l="0" t="0" r="0" b="6350"/>
                    <wp:wrapSquare wrapText="bothSides"/>
                    <wp:docPr id="154" name="Tekstiruutu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4165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C5426" w:rsidRDefault="006A24BF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Otsikk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0C5426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Ikäihmisten sosiaalihuoltolain mukaisten asumispalveluiden ja laitoshoidon myöntämisen perusteet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Alaotsikk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C5426" w:rsidRDefault="000C5426">
                                    <w:pPr>
                                      <w:jc w:val="right"/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Pohjautuvat I&amp;O kärkihankkeeseen</w:t>
                                    </w:r>
                                  </w:p>
                                </w:sdtContent>
                              </w:sdt>
                              <w:p w:rsidR="006A24BF" w:rsidRPr="006A24BF" w:rsidRDefault="006A24BF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bookmarkStart w:id="0" w:name="_GoBack"/>
                                <w:r w:rsidRPr="006A24BF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Hyvinvointilautakunta 26.10.2018 §62 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54" o:spid="_x0000_s1026" type="#_x0000_t202" style="position:absolute;margin-left:0;margin-top:0;width:8in;height:328pt;z-index:251659264;visibility:visible;mso-wrap-style:square;mso-width-percent:0;mso-height-percent:0;mso-top-percent:300;mso-wrap-distance-left:9pt;mso-wrap-distance-top:0;mso-wrap-distance-right:9pt;mso-wrap-distance-bottom:0;mso-position-horizontal:center;mso-position-horizontal-relative:page;mso-position-vertical-relative:page;mso-width-percent:0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" filled="f" stroked="f" strokeweight=".5pt">
                    <v:textbox inset="126pt,0,54pt,0">
                      <w:txbxContent>
                        <w:p w:rsidR="000C5426" w:rsidRDefault="006A24BF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Otsikk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0C5426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Ikäihmisten sosiaalihuoltolain mukaisten asumispalveluiden ja laitoshoidon myöntämisen perusteet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Alaotsikk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0C5426" w:rsidRDefault="000C5426">
                              <w:pPr>
                                <w:jc w:val="right"/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Pohjautuvat I&amp;O kärkihankkeeseen</w:t>
                              </w:r>
                            </w:p>
                          </w:sdtContent>
                        </w:sdt>
                        <w:p w:rsidR="006A24BF" w:rsidRPr="006A24BF" w:rsidRDefault="006A24BF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bookmarkStart w:id="1" w:name="_GoBack"/>
                          <w:r w:rsidRPr="006A24BF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Hyvinvointilautakunta 26.10.2018 §62 </w:t>
                          </w:r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A6729" w:rsidRPr="009A6729">
            <w:rPr>
              <w:color w:val="5B9BD5" w:themeColor="accent1"/>
              <w:sz w:val="48"/>
              <w:szCs w:val="4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Posion kunt</w:t>
          </w:r>
          <w:r w:rsidR="00BB27F8">
            <w:rPr>
              <w:color w:val="5B9BD5" w:themeColor="accent1"/>
              <w:sz w:val="48"/>
              <w:szCs w:val="4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 2019</w:t>
          </w:r>
        </w:p>
        <w:p w:rsidR="009A6729" w:rsidRDefault="009A6729">
          <w:pPr>
            <w:rPr>
              <w:color w:val="FFFFFF" w:themeColor="background1"/>
              <w:sz w:val="72"/>
              <w:szCs w:val="72"/>
            </w:rPr>
          </w:pPr>
        </w:p>
        <w:p w:rsidR="00F36BDB" w:rsidRDefault="00052C95" w:rsidP="009A6729">
          <w:pPr>
            <w:jc w:val="right"/>
            <w:rPr>
              <w:color w:val="FFFFFF" w:themeColor="background1"/>
              <w:sz w:val="72"/>
              <w:szCs w:val="72"/>
            </w:rPr>
          </w:pPr>
          <w:r>
            <w:rPr>
              <w:rFonts w:ascii="Calibri" w:hAnsi="Calibri" w:cs="Arial"/>
              <w:noProof/>
              <w:color w:val="FF7800"/>
              <w:lang w:eastAsia="fi-FI"/>
            </w:rPr>
            <w:drawing>
              <wp:inline distT="0" distB="0" distL="0" distR="0" wp14:anchorId="04750F75" wp14:editId="19DEA6BD">
                <wp:extent cx="1274885" cy="1255531"/>
                <wp:effectExtent l="0" t="0" r="1905" b="1905"/>
                <wp:docPr id="1" name="Kuva 1" descr="Posio logo">
                  <a:hlinkClick xmlns:a="http://schemas.openxmlformats.org/drawingml/2006/main" r:id="rId11" tooltip="&quot;Return to the Posio home p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sio logo">
                          <a:hlinkClick r:id="rId11" tooltip="&quot;Return to the Posio home pa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49" cy="13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36BDB">
            <w:rPr>
              <w:color w:val="FFFFFF" w:themeColor="background1"/>
              <w:sz w:val="72"/>
              <w:szCs w:val="72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743168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7493A" w:rsidRDefault="0087493A">
          <w:pPr>
            <w:pStyle w:val="Sisllysluettelonotsikko"/>
          </w:pPr>
          <w:r>
            <w:t>Sisällysluettelo</w:t>
          </w:r>
        </w:p>
        <w:p w:rsidR="0087493A" w:rsidRPr="0087493A" w:rsidRDefault="0087493A" w:rsidP="0087493A">
          <w:pPr>
            <w:rPr>
              <w:lang w:eastAsia="fi-FI"/>
            </w:rPr>
          </w:pPr>
        </w:p>
        <w:p w:rsidR="00D779B2" w:rsidRDefault="0087493A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211477" w:history="1">
            <w:r w:rsidR="00D779B2" w:rsidRPr="002E13F9">
              <w:rPr>
                <w:rStyle w:val="Hyperlinkki"/>
                <w:noProof/>
              </w:rPr>
              <w:t>1. Asumispalveluita ohjaava lainsäädäntö ja suositukset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_Toc6211477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3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78" w:history="1">
            <w:r w:rsidR="00D779B2" w:rsidRPr="002E13F9">
              <w:rPr>
                <w:rStyle w:val="Hyperlinkki"/>
                <w:noProof/>
              </w:rPr>
              <w:t>2. Asumispalveluiden yleiset periaatteet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_Toc6211478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3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79" w:history="1">
            <w:r w:rsidR="00D779B2" w:rsidRPr="002E13F9">
              <w:rPr>
                <w:rStyle w:val="Hyperlinkki"/>
                <w:noProof/>
              </w:rPr>
              <w:t>3. Asumispalvelut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_Toc6211479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4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0" w:history="1">
            <w:r w:rsidR="00D779B2" w:rsidRPr="002E13F9">
              <w:rPr>
                <w:rStyle w:val="Hyperlinkki"/>
                <w:noProof/>
              </w:rPr>
              <w:t>3.1 Tuettu asuminen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_Toc6211480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4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1" w:history="1">
            <w:r w:rsidR="00D779B2" w:rsidRPr="002E13F9">
              <w:rPr>
                <w:rStyle w:val="Hyperlinkki"/>
                <w:noProof/>
              </w:rPr>
              <w:t>3.2 Palveluasuminen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_Toc6211481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4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2" w:history="1">
            <w:r w:rsidR="00D779B2" w:rsidRPr="002E13F9">
              <w:rPr>
                <w:rStyle w:val="Hyperlinkki"/>
                <w:noProof/>
              </w:rPr>
              <w:t>3.3 Tehostettu palveluasuminen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_Toc6211482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5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3" w:history="1">
            <w:r w:rsidR="00D779B2" w:rsidRPr="002E13F9">
              <w:rPr>
                <w:rStyle w:val="Hyperlinkki"/>
                <w:noProof/>
              </w:rPr>
              <w:t>3.4 Lyhytaikainen kuntouttava asuminen (ympärivuorokautinen):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_Toc6211483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8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4" w:history="1">
            <w:r w:rsidR="00D779B2" w:rsidRPr="002E13F9">
              <w:rPr>
                <w:rStyle w:val="Hyperlinkki"/>
                <w:noProof/>
              </w:rPr>
              <w:t>3.5 Laitoshoito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_Toc6211484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8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5" w:history="1">
            <w:r w:rsidR="00D779B2" w:rsidRPr="002E13F9">
              <w:rPr>
                <w:rStyle w:val="Hyperlinkki"/>
                <w:noProof/>
              </w:rPr>
              <w:t>4. Palveluasumiseen hakeminen, palvelutarpeen arviointi ja päätöksenteko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_Toc6211485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9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6" w:history="1">
            <w:r w:rsidR="00D779B2" w:rsidRPr="002E13F9">
              <w:rPr>
                <w:rStyle w:val="Hyperlinkki"/>
                <w:noProof/>
              </w:rPr>
              <w:t>5. Asiakkaan tuleminen asumispalveluihin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_Toc6211486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10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7" w:history="1">
            <w:r w:rsidR="00D779B2" w:rsidRPr="002E13F9">
              <w:rPr>
                <w:rStyle w:val="Hyperlinkki"/>
                <w:noProof/>
              </w:rPr>
              <w:t>6. Palveluista perittävät maksut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_Toc6211487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10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8" w:history="1">
            <w:r w:rsidR="00D779B2" w:rsidRPr="002E13F9">
              <w:rPr>
                <w:rStyle w:val="Hyperlinkki"/>
                <w:noProof/>
              </w:rPr>
              <w:t>7. Terveyden- ja sairaanhoidon palvelut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_Toc6211488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11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89" w:history="1">
            <w:r w:rsidR="00D779B2" w:rsidRPr="002E13F9">
              <w:rPr>
                <w:rStyle w:val="Hyperlinkki"/>
                <w:noProof/>
              </w:rPr>
              <w:t>8. Henkilöstö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_Toc6211489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11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D779B2" w:rsidRDefault="006A24BF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6211490" w:history="1">
            <w:r w:rsidR="00D779B2" w:rsidRPr="002E13F9">
              <w:rPr>
                <w:rStyle w:val="Hyperlinkki"/>
                <w:noProof/>
              </w:rPr>
              <w:t>LÄHTEET</w:t>
            </w:r>
            <w:r w:rsidR="00D779B2">
              <w:rPr>
                <w:noProof/>
                <w:webHidden/>
              </w:rPr>
              <w:tab/>
            </w:r>
            <w:r w:rsidR="00D779B2">
              <w:rPr>
                <w:noProof/>
                <w:webHidden/>
              </w:rPr>
              <w:fldChar w:fldCharType="begin"/>
            </w:r>
            <w:r w:rsidR="00D779B2">
              <w:rPr>
                <w:noProof/>
                <w:webHidden/>
              </w:rPr>
              <w:instrText xml:space="preserve"> PAGEREF _Toc6211490 \h </w:instrText>
            </w:r>
            <w:r w:rsidR="00D779B2">
              <w:rPr>
                <w:noProof/>
                <w:webHidden/>
              </w:rPr>
            </w:r>
            <w:r w:rsidR="00D779B2">
              <w:rPr>
                <w:noProof/>
                <w:webHidden/>
              </w:rPr>
              <w:fldChar w:fldCharType="separate"/>
            </w:r>
            <w:r w:rsidR="00D779B2">
              <w:rPr>
                <w:noProof/>
                <w:webHidden/>
              </w:rPr>
              <w:t>12</w:t>
            </w:r>
            <w:r w:rsidR="00D779B2">
              <w:rPr>
                <w:noProof/>
                <w:webHidden/>
              </w:rPr>
              <w:fldChar w:fldCharType="end"/>
            </w:r>
          </w:hyperlink>
        </w:p>
        <w:p w:rsidR="0087493A" w:rsidRDefault="0087493A">
          <w:r>
            <w:rPr>
              <w:b/>
              <w:bCs/>
            </w:rPr>
            <w:fldChar w:fldCharType="end"/>
          </w:r>
        </w:p>
      </w:sdtContent>
    </w:sdt>
    <w:p w:rsidR="0087493A" w:rsidRDefault="0087493A">
      <w:pPr>
        <w:rPr>
          <w:rStyle w:val="fontstyle01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</w:p>
    <w:p w:rsidR="0087493A" w:rsidRDefault="0087493A">
      <w:pPr>
        <w:rPr>
          <w:rStyle w:val="fontstyle01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br w:type="page"/>
      </w:r>
    </w:p>
    <w:p w:rsidR="00CD5B27" w:rsidRPr="00B90BAC" w:rsidRDefault="0087493A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bookmarkStart w:id="2" w:name="_Toc6211477"/>
      <w:r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lastRenderedPageBreak/>
        <w:t xml:space="preserve">1. </w:t>
      </w:r>
      <w:r w:rsidR="00F36BDB"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t>Asumispalveluita ohjaava lainsäädäntö ja suositukset</w:t>
      </w:r>
      <w:bookmarkEnd w:id="2"/>
    </w:p>
    <w:p w:rsidR="00B90BAC" w:rsidRPr="00B90BAC" w:rsidRDefault="00B90BAC" w:rsidP="00B90BAC"/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Sosiaalihuoltolain (SHL 1301/2014 § 11, 14 ja 21) mukaan kunnan on huolehdittava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asumispalvelujen järjestämisestä. Asumispalveluja järjestetään henkilöille, jotka erityisestä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syystä tarvitsevat </w:t>
      </w:r>
      <w:r w:rsidR="0046114F">
        <w:rPr>
          <w:rStyle w:val="fontstyle21"/>
          <w:rFonts w:asciiTheme="minorHAnsi" w:hAnsiTheme="minorHAnsi"/>
          <w:sz w:val="22"/>
          <w:szCs w:val="22"/>
        </w:rPr>
        <w:t>a</w:t>
      </w:r>
      <w:r w:rsidRPr="00A21468">
        <w:rPr>
          <w:rStyle w:val="fontstyle21"/>
          <w:rFonts w:asciiTheme="minorHAnsi" w:hAnsiTheme="minorHAnsi"/>
          <w:sz w:val="22"/>
          <w:szCs w:val="22"/>
        </w:rPr>
        <w:t>pua tai tukea asumisessa tai asumisensa järjestämisessä.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Sosiaalihuoltolain mukaisina asumispalveluina voidaan myöntää ns. tavallista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palveluasumista ja tehostettua palveluasumista ja myös laitoshoitoa.</w:t>
      </w:r>
    </w:p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Ennen laitoshoitoon sijoittamista tulee aina selvittää muut vaihtoehdot sekä huolehtia siitä,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että potilaan lääketieteellinen tila on asianmukaisesti selvitetty ja potilas on saanut riittävän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kuntoutuksen (Laki ikääntyneen väestön toimintakyvyn tukemisesta ja iäkkäiden sosiaali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- </w:t>
      </w:r>
      <w:r w:rsidRPr="00A21468">
        <w:rPr>
          <w:rStyle w:val="fontstyle21"/>
          <w:rFonts w:asciiTheme="minorHAnsi" w:hAnsiTheme="minorHAnsi"/>
          <w:sz w:val="22"/>
          <w:szCs w:val="22"/>
        </w:rPr>
        <w:t>ja terveyspalveluista 980/2012).</w:t>
      </w:r>
    </w:p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Lain ikääntyneen väestön toimintakyvyn tukemisesta (28.12.2012/980) sekä iäkkäiden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sosiaali- ja terveyspalveluista 14 §:n mukaan kunnan on toteutettava iäkkään henkilön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arvokasta elämää tukeva pitkäaikainen hoito ja huolenpito ensisijaisesti kotiin 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>a</w:t>
      </w:r>
      <w:r w:rsidRPr="00A21468">
        <w:rPr>
          <w:rStyle w:val="fontstyle21"/>
          <w:rFonts w:asciiTheme="minorHAnsi" w:hAnsiTheme="minorHAnsi"/>
          <w:sz w:val="22"/>
          <w:szCs w:val="22"/>
        </w:rPr>
        <w:t>nnettavilla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 muilla sosiaali- ja terveydenhuollon avopalveluilla. Palvelut on toteutettava niin, että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iäkäs henkilö voi kokea elämänsä turvalliseksi, merkitykselliseksi ja arvokkaaksi ja että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hän voi ylläpitää sosiaalista vuorovaikutusta sekä osallistua mielekkääseen, hyvinvointia,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terveyttä ja toimintakykyä edistävään ja ylläpitävään toimintaan. Edellytyksenä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ympärivuorokautiseen tehostettuun palveluasumiseen ohjautumiselle on, että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asiakkaalla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 ollut käytössään kaikki kotona asumista tukevat palvelut ja niiden vaikutus asiakkaan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toimintakykyyn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 arvioitu.</w:t>
      </w:r>
    </w:p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Asiakkaan palveluntarpeen muuttuessa kotihoito lisää asiakkaalle palveluja ja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mahdollisesti käytössä on myös tehostettu kotikuntoutus. Asiakkaan kotona asumisen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tukemiseksi on pohdittu ja käytetty kaikki hoito-, kuntoutus- ja sosiaalityön keinot ja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menetelmät, jotka ovat käytettävissä.</w:t>
      </w:r>
    </w:p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”Laatusuositus hyvän ikääntymisen turvaamiseksi ja palvelujen parantamiseksi 20172019”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(Sosiaali- ja terveysministeriön julkaisuja 2017:6) edellyttää ikäystävällistä palvelujen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rakennetta siten, että asumista ja palveluja kehitetään samanaikaisesti. Tavoitteena on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lisätä koko ikääntyneen väestön tietoisuutta asumisen ennakoinnin merkityksestä sekä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tehdä valintoja asumisen suhteen tulevia tarpeita ennakoiden. Tavoitteena on tukea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ympärivuorokautista hoitoa ja huolenpitoa tarvitsevien asiakkaiden mahdollisuutta elää ja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asua kodikkaassa ympäristössä, jossa tarvittava hoito ja huolenpito on turvattu ja iäkäs voi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kokea elämänsä arvokkaaksi, merkitykselliseksi ja turvalliseksi.</w:t>
      </w:r>
    </w:p>
    <w:p w:rsidR="0046114F" w:rsidRDefault="00F36BDB" w:rsidP="0046114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Asumisen ja palvelujen ratkaisuja suunniteltaessa noudatetaan normaaliuden periaatetta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niin, että iäkkäiden asunnot ovat mahdollisimman usein tavanomaisessa asuntokannassa.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Asumisen ja palvelujen toimivaksi yhteensovittamiseksi kehitetään myös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uudenlaisia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esteettömiä, turvallisuutta sekä itsemääräämistä tukevia yhteisöllisiä ratkaisuja, jotka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huomioivat toimintakyvyssä tapahtuvat muutokset. Nämä ratkaisut rakennetaan paikallisiin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olosuhteisiin sopiviksi. </w:t>
      </w:r>
    </w:p>
    <w:p w:rsidR="006F45D3" w:rsidRPr="00A21468" w:rsidRDefault="00F36BDB" w:rsidP="0046114F">
      <w:pPr>
        <w:spacing w:after="0"/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(Laatusuositus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hyvän ikääntymisen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turvaamiseksi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palvelujen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parantamiseksi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2017–2019)</w:t>
      </w:r>
      <w:r w:rsidRPr="00A21468">
        <w:br/>
      </w:r>
    </w:p>
    <w:p w:rsidR="00CD5B27" w:rsidRPr="00B90BAC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bookmarkStart w:id="3" w:name="_Toc6211478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t>2. Asumispalveluiden yleiset periaatteet</w:t>
      </w:r>
      <w:bookmarkEnd w:id="3"/>
    </w:p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Asumispalvelu muodostuu asiakkaalle tarjottavasta kodinomaisesta, viihtyisästä ja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asiakkaan henkilökohtaisia tarpeita vastaavasta asumisesta, siihen keskeisesti liittyvistä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tukipalveluista ja kuntoutuksesta, kuntoutumista edistävästä hoidosta ja hoivasta.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Palvelukokonaisuus edistää asiakkaan turvallista ja arvokasta elämää, tukee omatoimista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elämää ja mahdollistaa fyysisen, psyykkisen, </w:t>
      </w:r>
      <w:r w:rsidRPr="00A21468">
        <w:rPr>
          <w:rStyle w:val="fontstyle21"/>
          <w:rFonts w:asciiTheme="minorHAnsi" w:hAnsiTheme="minorHAnsi"/>
          <w:sz w:val="22"/>
          <w:szCs w:val="22"/>
        </w:rPr>
        <w:lastRenderedPageBreak/>
        <w:t>sosiaalisen ja henkisen hyvinvoinnin sekä ja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kuntoutumisen. Asiakasta aktivoidaan ja kannustetaan omatoimiseen ja itsenäiseen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suoriutumiseen omien voimavarojen mukaan.</w:t>
      </w:r>
    </w:p>
    <w:p w:rsidR="004E4252" w:rsidRDefault="0046114F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>Palvelun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keskeisinä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periaatteina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ovat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asiakaslähtöisyys,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oikeudet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itsemääräämisoikeus.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Asiakas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j</w:t>
      </w:r>
      <w:r>
        <w:rPr>
          <w:rStyle w:val="fontstyle21"/>
          <w:rFonts w:asciiTheme="minorHAnsi" w:hAnsiTheme="minorHAnsi"/>
          <w:sz w:val="22"/>
          <w:szCs w:val="22"/>
        </w:rPr>
        <w:t>a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hänen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yksilölliset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tarpeensa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huomioidaan</w:t>
      </w:r>
      <w:r w:rsidR="00956A1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 xml:space="preserve">kokonaisvaltaisesti. </w:t>
      </w:r>
    </w:p>
    <w:p w:rsidR="00CD5B27" w:rsidRPr="00A21468" w:rsidRDefault="00956A14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Asiakas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osallistuu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häntä</w:t>
      </w:r>
      <w:r>
        <w:rPr>
          <w:rStyle w:val="fontstyle21"/>
          <w:rFonts w:asciiTheme="minorHAnsi" w:hAnsiTheme="minorHAnsi"/>
          <w:sz w:val="22"/>
          <w:szCs w:val="22"/>
        </w:rPr>
        <w:t xml:space="preserve"> koskevan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palvelunsuunnitteluun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tulee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kuulluksi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häntä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itseään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koskevassa</w:t>
      </w:r>
      <w:r>
        <w:rPr>
          <w:rStyle w:val="fontstyle21"/>
          <w:rFonts w:asciiTheme="minorHAnsi" w:hAnsiTheme="minorHAnsi"/>
          <w:sz w:val="22"/>
          <w:szCs w:val="22"/>
        </w:rPr>
        <w:t xml:space="preserve"> päätöksenteossa.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Työskentelyssä</w:t>
      </w:r>
      <w:r>
        <w:rPr>
          <w:rStyle w:val="fontstyle21"/>
          <w:rFonts w:asciiTheme="minorHAnsi" w:hAnsiTheme="minorHAnsi"/>
          <w:sz w:val="22"/>
          <w:szCs w:val="22"/>
        </w:rPr>
        <w:t xml:space="preserve"> asiakkaan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kanssa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korostuvat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kuntouttavan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toiminnan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periaatteet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kuntoutumista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edistävät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toimintatavat.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Asiakkaalla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mahdollisuus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asua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toimintayksikössä</w:t>
      </w:r>
      <w:r>
        <w:rPr>
          <w:rStyle w:val="fontstyle21"/>
          <w:rFonts w:asciiTheme="minorHAnsi" w:hAnsiTheme="minorHAnsi"/>
          <w:sz w:val="22"/>
          <w:szCs w:val="22"/>
        </w:rPr>
        <w:t xml:space="preserve"> elämänsä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loppuun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saakka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saada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>
        <w:rPr>
          <w:rStyle w:val="fontstyle21"/>
          <w:rFonts w:asciiTheme="minorHAnsi" w:hAnsiTheme="minorHAnsi"/>
          <w:sz w:val="22"/>
          <w:szCs w:val="22"/>
        </w:rPr>
        <w:t xml:space="preserve">muuttuvia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tarpeitaan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vastaavaa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hoitoa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hoivaa.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Asukkaalla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mahdollisuus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asua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puolison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kanssa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yhdessä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läheisesti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yksilöllisesti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suunniteltuna.</w:t>
      </w:r>
    </w:p>
    <w:p w:rsidR="004E4252" w:rsidRDefault="00956A14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Tarpeen arvioinnissa arvioidaan käytössä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</w:t>
      </w:r>
      <w:r>
        <w:rPr>
          <w:rStyle w:val="fontstyle21"/>
          <w:rFonts w:asciiTheme="minorHAnsi" w:hAnsiTheme="minorHAnsi"/>
          <w:sz w:val="22"/>
          <w:szCs w:val="22"/>
        </w:rPr>
        <w:t xml:space="preserve">levien palvelujen kokonaisuuden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luomat</w:t>
      </w:r>
      <w:r>
        <w:rPr>
          <w:rStyle w:val="fontstyle21"/>
          <w:rFonts w:asciiTheme="minorHAnsi" w:hAnsiTheme="minorHAnsi"/>
          <w:sz w:val="22"/>
          <w:szCs w:val="22"/>
        </w:rPr>
        <w:t xml:space="preserve"> edellytykset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selviyt</w:t>
      </w:r>
      <w:r>
        <w:rPr>
          <w:rStyle w:val="fontstyle21"/>
          <w:rFonts w:asciiTheme="minorHAnsi" w:hAnsiTheme="minorHAnsi"/>
          <w:sz w:val="22"/>
          <w:szCs w:val="22"/>
        </w:rPr>
        <w:t xml:space="preserve">yä päivittäisistä </w:t>
      </w:r>
      <w:r w:rsidR="004E4252">
        <w:rPr>
          <w:rStyle w:val="fontstyle21"/>
          <w:rFonts w:asciiTheme="minorHAnsi" w:hAnsiTheme="minorHAnsi"/>
          <w:sz w:val="22"/>
          <w:szCs w:val="22"/>
        </w:rPr>
        <w:t>toiminnoista.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Muiden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palvelujen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tehostamisen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mahdollisuudet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4E4252">
        <w:rPr>
          <w:rStyle w:val="fontstyle21"/>
          <w:rFonts w:asciiTheme="minorHAnsi" w:hAnsiTheme="minorHAnsi"/>
          <w:sz w:val="22"/>
          <w:szCs w:val="22"/>
        </w:rPr>
        <w:t>selvitetään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yhteistyössä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ja/tai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hänen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edustajansa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sekä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>
        <w:rPr>
          <w:rStyle w:val="fontstyle21"/>
          <w:rFonts w:asciiTheme="minorHAnsi" w:hAnsiTheme="minorHAnsi"/>
          <w:sz w:val="22"/>
          <w:szCs w:val="22"/>
        </w:rPr>
        <w:t xml:space="preserve"> tilanteeseen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</w:t>
      </w:r>
      <w:r>
        <w:rPr>
          <w:rStyle w:val="fontstyle21"/>
          <w:rFonts w:asciiTheme="minorHAnsi" w:hAnsiTheme="minorHAnsi"/>
          <w:sz w:val="22"/>
          <w:szCs w:val="22"/>
        </w:rPr>
        <w:t>erehtyneiden ammattihenkilöiden</w:t>
      </w:r>
      <w:r w:rsidR="005366B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 xml:space="preserve">kanssa. </w:t>
      </w:r>
    </w:p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Palvelujen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järjestämisessä huomioidaan saamelaisen asiakkaan kohdalla saamenkieli ja kulttuuri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kokonaisvaltaisesti.</w:t>
      </w:r>
    </w:p>
    <w:p w:rsidR="00CD5B27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 w:rsidRPr="00CD5B27">
        <w:br/>
      </w:r>
      <w:bookmarkStart w:id="4" w:name="_Toc6211479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t>3. Asumispalvelut</w:t>
      </w:r>
      <w:bookmarkEnd w:id="4"/>
    </w:p>
    <w:p w:rsidR="00CD5B27" w:rsidRPr="00B90BAC" w:rsidRDefault="00F36BDB" w:rsidP="00B90BAC">
      <w:pPr>
        <w:pStyle w:val="Otsikko2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</w:pPr>
      <w:bookmarkStart w:id="5" w:name="_Toc6211480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  <w:t>3.1 Tuettu asuminen</w:t>
      </w:r>
      <w:bookmarkEnd w:id="5"/>
    </w:p>
    <w:p w:rsidR="004E4252" w:rsidRPr="00B54B60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B54B60">
        <w:rPr>
          <w:rStyle w:val="fontstyle21"/>
          <w:rFonts w:asciiTheme="minorHAnsi" w:hAnsiTheme="minorHAnsi"/>
          <w:sz w:val="22"/>
          <w:szCs w:val="22"/>
        </w:rPr>
        <w:t>Tuetulla asumisella tarkoitetaan asumisen tukemista sosiaaliohjauksella ja muilla</w:t>
      </w:r>
      <w:r w:rsidRPr="00B54B60">
        <w:rPr>
          <w:rFonts w:cs="Arial"/>
          <w:color w:val="000000"/>
        </w:rPr>
        <w:br/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sosiaalipalveluilla. Tuettua asumista järjestetään henkilöille, </w:t>
      </w:r>
      <w:r w:rsidRPr="00B54B60">
        <w:rPr>
          <w:rStyle w:val="fontstyle21"/>
          <w:rFonts w:asciiTheme="minorHAnsi" w:hAnsiTheme="minorHAnsi"/>
          <w:sz w:val="22"/>
          <w:szCs w:val="22"/>
        </w:rPr>
        <w:t>jotka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tarvitsevat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tukea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itsenäiseen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asumiseen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tai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itsenäisee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n asumiseen </w:t>
      </w:r>
      <w:r w:rsidRPr="00B54B60">
        <w:rPr>
          <w:rStyle w:val="fontstyle21"/>
          <w:rFonts w:asciiTheme="minorHAnsi" w:hAnsiTheme="minorHAnsi"/>
          <w:sz w:val="22"/>
          <w:szCs w:val="22"/>
        </w:rPr>
        <w:t xml:space="preserve">siirtymisessä. </w:t>
      </w:r>
    </w:p>
    <w:p w:rsidR="004E4252" w:rsidRPr="00B54B60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B54B60">
        <w:rPr>
          <w:rStyle w:val="fontstyle21"/>
          <w:rFonts w:asciiTheme="minorHAnsi" w:hAnsiTheme="minorHAnsi"/>
          <w:sz w:val="22"/>
          <w:szCs w:val="22"/>
        </w:rPr>
        <w:t>Erityistarpeina</w:t>
      </w:r>
      <w:r w:rsidR="004E4252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tukiasumisen tarjoamiselle voi olla nykyisen asuinympäristön hankaluudet mm. pitkät</w:t>
      </w:r>
      <w:r w:rsidRPr="00B54B60">
        <w:rPr>
          <w:rFonts w:cs="Arial"/>
          <w:color w:val="000000"/>
        </w:rPr>
        <w:br/>
      </w:r>
      <w:r w:rsidRPr="00B54B60">
        <w:rPr>
          <w:rStyle w:val="fontstyle21"/>
          <w:rFonts w:asciiTheme="minorHAnsi" w:hAnsiTheme="minorHAnsi"/>
          <w:sz w:val="22"/>
          <w:szCs w:val="22"/>
        </w:rPr>
        <w:t>etäisyydet. Tuetussa asumisessa asuva henkilö tarvitsee tukea ja ohjausta kyetäkseen</w:t>
      </w:r>
      <w:r w:rsidRPr="00B54B60">
        <w:rPr>
          <w:rFonts w:cs="Arial"/>
          <w:color w:val="000000"/>
        </w:rPr>
        <w:br/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asumaanitsenäisestikotonaan. Henkilö asuu lähtökohtaisesti omassa </w:t>
      </w:r>
      <w:r w:rsidRPr="00B54B60">
        <w:rPr>
          <w:rStyle w:val="fontstyle21"/>
          <w:rFonts w:asciiTheme="minorHAnsi" w:hAnsiTheme="minorHAnsi"/>
          <w:sz w:val="22"/>
          <w:szCs w:val="22"/>
        </w:rPr>
        <w:t>kodissaan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tukiasumiseen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tarkoitetuissa asunnoissa, </w:t>
      </w:r>
      <w:r w:rsidRPr="00B54B60">
        <w:rPr>
          <w:rStyle w:val="fontstyle21"/>
          <w:rFonts w:asciiTheme="minorHAnsi" w:hAnsiTheme="minorHAnsi"/>
          <w:sz w:val="22"/>
          <w:szCs w:val="22"/>
        </w:rPr>
        <w:t>senioritaloissa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tai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vastaavissa,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mutta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tuettu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asuminen voi olla myös ryhmäkotimuotoista.</w:t>
      </w:r>
      <w:r w:rsidR="00F85B01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Asiakkaan palvelujen tarve vaihtelee ja voi</w:t>
      </w:r>
      <w:r w:rsidR="00CD5B27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olla päivittäistä tai viikoittaista. Tukiasumiseen liittyy usein yhteisöllistä toimintaa.</w:t>
      </w:r>
    </w:p>
    <w:p w:rsidR="00CD5B27" w:rsidRPr="00B54B60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B54B60">
        <w:rPr>
          <w:rStyle w:val="fontstyle21"/>
          <w:rFonts w:asciiTheme="minorHAnsi" w:hAnsiTheme="minorHAnsi"/>
          <w:sz w:val="22"/>
          <w:szCs w:val="22"/>
        </w:rPr>
        <w:t>Asiakkaan tarvitsemat palvelut järjestetään kotihoidon ja muiden avopalvelujen avulla.</w:t>
      </w:r>
    </w:p>
    <w:p w:rsidR="00CD5B27" w:rsidRPr="00B54B60" w:rsidRDefault="00F36BDB" w:rsidP="00CD5B27">
      <w:pPr>
        <w:ind w:left="360"/>
        <w:rPr>
          <w:rFonts w:ascii="Arial" w:hAnsi="Arial" w:cs="Arial"/>
          <w:color w:val="000000"/>
        </w:rPr>
      </w:pPr>
      <w:r w:rsidRPr="00B54B60">
        <w:rPr>
          <w:rStyle w:val="fontstyle21"/>
          <w:rFonts w:asciiTheme="minorHAnsi" w:hAnsiTheme="minorHAnsi"/>
          <w:sz w:val="22"/>
          <w:szCs w:val="22"/>
        </w:rPr>
        <w:t xml:space="preserve">Asukkaat tekevät vuokrasopimuksen kiinteistön omistajan kanssa asumisesta ja heillä </w:t>
      </w:r>
      <w:r w:rsidR="007A66C5" w:rsidRPr="00B54B60">
        <w:rPr>
          <w:rStyle w:val="fontstyle21"/>
          <w:rFonts w:asciiTheme="minorHAnsi" w:hAnsiTheme="minorHAnsi"/>
          <w:sz w:val="22"/>
          <w:szCs w:val="22"/>
        </w:rPr>
        <w:t>o</w:t>
      </w:r>
      <w:r w:rsidRPr="00B54B60">
        <w:rPr>
          <w:rStyle w:val="fontstyle21"/>
          <w:rFonts w:asciiTheme="minorHAnsi" w:hAnsiTheme="minorHAnsi"/>
          <w:sz w:val="22"/>
          <w:szCs w:val="22"/>
        </w:rPr>
        <w:t>n</w:t>
      </w:r>
      <w:r w:rsidR="00CD5B27" w:rsidRPr="00B54B60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B54B60">
        <w:rPr>
          <w:rStyle w:val="fontstyle21"/>
          <w:rFonts w:asciiTheme="minorHAnsi" w:hAnsiTheme="minorHAnsi"/>
          <w:sz w:val="22"/>
          <w:szCs w:val="22"/>
        </w:rPr>
        <w:t>mahdollisuus hakea Kelasta tulosidonnaista asumistukea vuokrakustannuksiin.</w:t>
      </w:r>
      <w:r w:rsidRPr="00B54B60">
        <w:br/>
      </w:r>
    </w:p>
    <w:p w:rsidR="00CD5B27" w:rsidRPr="00B90BAC" w:rsidRDefault="00F36BDB" w:rsidP="00B90BAC">
      <w:pPr>
        <w:pStyle w:val="Otsikko2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</w:pPr>
      <w:bookmarkStart w:id="6" w:name="_Toc6211481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  <w:t>3.2 Palveluasuminen</w:t>
      </w:r>
      <w:bookmarkEnd w:id="6"/>
    </w:p>
    <w:p w:rsidR="00CD5B27" w:rsidRPr="00A21468" w:rsidRDefault="00F36BDB" w:rsidP="00CD5B27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Palveluasumista järjestetään vaihtoehtona henkilöille, joilla on tehostetun kotihoidon tarve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tai lisääntynyt asumisen tuen tarve. Hän voi tarvita useita hoivakäyntejä vuorokaudessa,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mutta ei tarvitse ympärivuorokautista hoivaa. Palveluasumisen myöntämisen perusteena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voi olla myös voimakas turvattomuuden tunne ja henkilön katsotaan hyötyvän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palveluasumisesta. Palveluasuminen on asumismuoto turvallisessa ja yhteisöllisessä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asumisympäristössä ikääntyneille, jotka tarvitsevat hoitohenkilökunnan päivittäistä tukea ja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apua asumiseensa, Asuminen voidaan järjestää tavanomaisissa huoneistoissa, erityisissä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palvelutaloissa, ryhmäkodeissa, asumisryhmissä tai muissa ratkaisuissa.</w:t>
      </w:r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lastRenderedPageBreak/>
        <w:t>Tavallisessa palveluasumisessa tarjotaan asiakkaan tarpeiden mukaista kuntouttavaa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hoivaa, huolenpitoa ja tukipalveluja aamusta iltaan. Palveluun sisältyy asiakkaan tarpeen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mukainen ohjaus- ja neuvonta, toimintakykyä ylläpitävä ja edistävä toiminta, hoiva- ja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huolenpito, ateria-, vaatehuolto-,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peseytymis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>- ja siivouspalvelut sekä osallisuutta ja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sosiaalista kanssakäymistä edistävät palvelut. Jokaiselle asukkaalle laaditaan hänen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toimintakykynsä ja palvelutarpeen mukainen hoito -, palvelu- ja kuntoutussuunnitelma.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 ei sisällä lääkkeitä, henkilökohtaisia hygieniatarvikkeita ja hoitotarvikkeita eikä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vaatteita tms. henkilökohtaisia tarvikkeita.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 xml:space="preserve">Yksikössä voi olla oma henkilökunta tai henkilöstö voi olla kotihoidon tai 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>a</w:t>
      </w:r>
      <w:r w:rsidRPr="00A21468">
        <w:rPr>
          <w:rStyle w:val="fontstyle21"/>
          <w:rFonts w:asciiTheme="minorHAnsi" w:hAnsiTheme="minorHAnsi"/>
          <w:sz w:val="22"/>
          <w:szCs w:val="22"/>
        </w:rPr>
        <w:t>sumispalveluiden</w:t>
      </w:r>
      <w:r w:rsidR="00CD5B27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henkilöstöä. Henkilöstö on tavoitettavissa aamusta iltaan klo 7-21. Palveluasuminen ei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sisällä ympärivuorokautista palvelua ja yöaikainen hoito ja turvallisuus perustuvat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tarvittaessa turvahälytysjärjestelmään ja/tai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yöpartion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 xml:space="preserve"> käynteihin. Palveluasunnossa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asukkaat tekevät vuokrasopimuksen kiinteistön omistajan kanssa palveluasumisesta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heillä on mahdollisuus hakea Kelasta tulosidonnaista asumistukea 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>v</w:t>
      </w:r>
      <w:r w:rsidRPr="00A21468">
        <w:rPr>
          <w:rStyle w:val="fontstyle21"/>
          <w:rFonts w:asciiTheme="minorHAnsi" w:hAnsiTheme="minorHAnsi"/>
          <w:sz w:val="22"/>
          <w:szCs w:val="22"/>
        </w:rPr>
        <w:t>uokrakustannuksiin.</w:t>
      </w:r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01"/>
          <w:rFonts w:asciiTheme="minorHAnsi" w:hAnsiTheme="minorHAnsi"/>
          <w:sz w:val="22"/>
          <w:szCs w:val="22"/>
        </w:rPr>
        <w:t xml:space="preserve">Palvelutarpeen arvioinnin apuna </w:t>
      </w:r>
      <w:r w:rsidRPr="00A21468">
        <w:rPr>
          <w:rStyle w:val="fontstyle21"/>
          <w:rFonts w:asciiTheme="minorHAnsi" w:hAnsiTheme="minorHAnsi"/>
          <w:sz w:val="22"/>
          <w:szCs w:val="22"/>
        </w:rPr>
        <w:t>käytetään muisti- ja toimintakykymittareita. Asiakkaan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avuntarvetta ja toimintakykyä mittaavan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RAIn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MAPLe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>-luokitus on 3-5, ADL 1-2, CPS 3 ja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IADL-kriteeriä mm, että osaa hälyttää apua esim. turvarannekkeella tai RAVA-indeksin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arvo on yli 2,5. Mittareiden arvot ovat ohjeellisia ja arvioinnissa huomioidaan yksilöllisesti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 kokonaistilanne.</w:t>
      </w:r>
    </w:p>
    <w:p w:rsidR="006F45D3" w:rsidRPr="00B90BAC" w:rsidRDefault="00F36BDB" w:rsidP="00B90BAC">
      <w:pPr>
        <w:pStyle w:val="Otsikko2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</w:pPr>
      <w:r w:rsidRPr="00CD5B27">
        <w:br/>
      </w:r>
      <w:bookmarkStart w:id="7" w:name="_Toc6211482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  <w:t>3.3 Tehostettu palveluasuminen</w:t>
      </w:r>
      <w:bookmarkEnd w:id="7"/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Tehostettua palveluasumista järjestetään henkilöille, jotka eivät enää selviydy kotonaan tai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palveluasumisessa turvallisesti kotiin annettavien runsaiden palveluiden ja tukitoimien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turvin ja joilla hoidon ja huolenpidon tarve on runsasta ja ympärivuorokautista. Asiakkaalla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ei ole lääketieteellisesti perusteltua syytä sairaalatasoiseen hoitoon.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Tehostetun palveluasumisen tarkoitu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ksena on mahdollistaa asiakkaan </w:t>
      </w:r>
      <w:r w:rsidRPr="00A21468">
        <w:rPr>
          <w:rStyle w:val="fontstyle21"/>
          <w:rFonts w:asciiTheme="minorHAnsi" w:hAnsiTheme="minorHAnsi"/>
          <w:sz w:val="22"/>
          <w:szCs w:val="22"/>
        </w:rPr>
        <w:t>asuminen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eläminen elämänsä loppuun asti kodissaan ylläpitämällä asiakkaiden päivittäistä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toimintakykyä kuntouttavan työotteen ja monipuolisen kuntouttavan toiminnan avulla.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Asiakkaalle tarjotaan hänen tarvitsemansa kuntoutus, hoiva, hoito ja huolenpito.</w:t>
      </w:r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Tehostettu palveluasuminen sisältää asiakkaan ympärivuorokautisen hoivan ja hoidon,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ateriat, siivouspalvelut, vaatehuollon ja osallisuutta ja sosiaalista kanssakäymistä edistävät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palvelut sekä muut palvelut kuten avustamisen asunnossa ja sen ulkopuolella. Jokaiselle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asukkaalle laaditaan hänen toimintakykynsä ja palvelutarpeensa mukainen hoito- palveluja kuntoutussuunnitelma.</w:t>
      </w:r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Palvelu ei sisällä lääkkeitä, henkilökohtaisia hygieniatarvikkeita ja hoitotarvikkeita sekä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vaatteita tms. henkilökohtaisia tarvikkeita.</w:t>
      </w:r>
      <w:r w:rsidR="004E425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Tehostetussa palveluasumisessa asiakkaat tekevät vuokrasopimuksen kiinteistön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omistajan kanssa ja heillä on mahdollisuus hakea Kelasta tulosidonnaista asumistukea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vuokrakustannuksiin.</w:t>
      </w:r>
    </w:p>
    <w:p w:rsidR="00A21468" w:rsidRDefault="00A21468" w:rsidP="006F45D3">
      <w:pPr>
        <w:ind w:left="360"/>
        <w:jc w:val="both"/>
        <w:rPr>
          <w:rFonts w:cs="Arial"/>
          <w:color w:val="000000"/>
        </w:rPr>
      </w:pPr>
    </w:p>
    <w:p w:rsidR="00A21468" w:rsidRDefault="00A21468" w:rsidP="006F45D3">
      <w:pPr>
        <w:ind w:left="360"/>
        <w:jc w:val="both"/>
        <w:rPr>
          <w:rFonts w:cs="Arial"/>
          <w:color w:val="000000"/>
        </w:rPr>
      </w:pPr>
    </w:p>
    <w:p w:rsidR="00A21468" w:rsidRDefault="00A21468" w:rsidP="006F45D3">
      <w:pPr>
        <w:ind w:left="360"/>
        <w:jc w:val="both"/>
        <w:rPr>
          <w:rFonts w:cs="Arial"/>
          <w:color w:val="000000"/>
        </w:rPr>
      </w:pPr>
    </w:p>
    <w:p w:rsidR="00A21468" w:rsidRDefault="00A21468" w:rsidP="006F45D3">
      <w:pPr>
        <w:ind w:left="360"/>
        <w:jc w:val="both"/>
        <w:rPr>
          <w:rFonts w:cs="Arial"/>
          <w:color w:val="000000"/>
        </w:rPr>
      </w:pPr>
    </w:p>
    <w:p w:rsidR="005366BA" w:rsidRDefault="005366BA">
      <w:pPr>
        <w:rPr>
          <w:rStyle w:val="fontstyle01"/>
          <w:rFonts w:asciiTheme="minorHAnsi" w:hAnsiTheme="minorHAnsi"/>
          <w:sz w:val="22"/>
          <w:szCs w:val="22"/>
        </w:rPr>
      </w:pPr>
      <w:r>
        <w:rPr>
          <w:rStyle w:val="fontstyle01"/>
          <w:rFonts w:asciiTheme="minorHAnsi" w:hAnsiTheme="minorHAnsi"/>
          <w:sz w:val="22"/>
          <w:szCs w:val="22"/>
        </w:rPr>
        <w:br w:type="page"/>
      </w:r>
    </w:p>
    <w:p w:rsidR="006F45D3" w:rsidRPr="00A21468" w:rsidRDefault="00F36BDB" w:rsidP="006F45D3">
      <w:pPr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01"/>
          <w:rFonts w:asciiTheme="minorHAnsi" w:hAnsiTheme="minorHAnsi"/>
          <w:sz w:val="22"/>
          <w:szCs w:val="22"/>
        </w:rPr>
        <w:lastRenderedPageBreak/>
        <w:t>Myöntämiskriteerit tehostettuun palveluasumiseen</w:t>
      </w:r>
    </w:p>
    <w:p w:rsidR="006F45D3" w:rsidRPr="00A21468" w:rsidRDefault="00F36BDB" w:rsidP="00052C95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b/>
          <w:bCs/>
          <w:color w:val="000000"/>
        </w:rPr>
        <w:br/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Asiakkaat, </w:t>
      </w:r>
      <w:r w:rsidRPr="00A21468">
        <w:rPr>
          <w:rStyle w:val="fontstyle21"/>
          <w:rFonts w:asciiTheme="minorHAnsi" w:hAnsiTheme="minorHAnsi"/>
          <w:sz w:val="22"/>
          <w:szCs w:val="22"/>
        </w:rPr>
        <w:t>joilla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kotona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asumista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tukevista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palveluista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tukitoimista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huolimatta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kotona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asuminen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ei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ole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turvallista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joko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itsenäisesti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asuen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tai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omaisen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kanssa.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Heillä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52C95">
        <w:rPr>
          <w:rStyle w:val="fontstyle21"/>
          <w:rFonts w:asciiTheme="minorHAnsi" w:hAnsiTheme="minorHAnsi"/>
          <w:sz w:val="22"/>
          <w:szCs w:val="22"/>
        </w:rPr>
        <w:t xml:space="preserve">fyysisen, </w:t>
      </w:r>
      <w:r w:rsidRPr="00A21468">
        <w:rPr>
          <w:rStyle w:val="fontstyle21"/>
          <w:rFonts w:asciiTheme="minorHAnsi" w:hAnsiTheme="minorHAnsi"/>
          <w:sz w:val="22"/>
          <w:szCs w:val="22"/>
        </w:rPr>
        <w:t>psyykkisen, kognitiivisen ja/tai sosiaalisen toimintakyvynhuomattavaaheikentymistä.</w:t>
      </w:r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Asiakkaat, jotka tarvitsevat monien sairauksien vuoksi ympärivuorokautista hoivaa ja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valvontaa. Hoivan ja valvonnan tarvetta on säännöllisesti myös yöaikaan.</w:t>
      </w:r>
    </w:p>
    <w:p w:rsidR="006F45D3" w:rsidRPr="00A21468" w:rsidRDefault="00CC4CE2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Sairaat ja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terveydentilaltaan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epävakaat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asiakkaat,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joilla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toistuvia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sairaalajaksoja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monien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sairauksien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vuoksi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sairaanhoidollisten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toimenpiteiden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säännöllinen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jatkuva tarve.</w:t>
      </w:r>
    </w:p>
    <w:p w:rsidR="006F45D3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Palvelutarpeen arvioinnin apuna käytetään jäljessä seuraavia mittareita. Oheiset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mit</w:t>
      </w:r>
      <w:r w:rsidR="00052C95">
        <w:rPr>
          <w:rStyle w:val="fontstyle21"/>
          <w:rFonts w:asciiTheme="minorHAnsi" w:hAnsiTheme="minorHAnsi"/>
          <w:sz w:val="22"/>
          <w:szCs w:val="22"/>
        </w:rPr>
        <w:t>tareiden arvot ovat ohjeellisia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arvioinnissa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huomioidaan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yksilöllisesti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kokonaistilanne. Arvioinnissa käytetään toimintakykymittareita, joista keskeisimpänä RAI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52C95">
        <w:rPr>
          <w:rStyle w:val="fontstyle21"/>
          <w:rFonts w:asciiTheme="minorHAnsi" w:hAnsiTheme="minorHAnsi"/>
          <w:sz w:val="22"/>
          <w:szCs w:val="22"/>
        </w:rPr>
        <w:t xml:space="preserve">toimintakyvyn arviointimittari. </w:t>
      </w:r>
      <w:r w:rsidRPr="00A21468">
        <w:rPr>
          <w:rStyle w:val="fontstyle21"/>
          <w:rFonts w:asciiTheme="minorHAnsi" w:hAnsiTheme="minorHAnsi"/>
          <w:sz w:val="22"/>
          <w:szCs w:val="22"/>
        </w:rPr>
        <w:t>RAI:hin sisältyvä MAPLe-5-asteikko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kuvaa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palvelutarpeen määrää: 1 (vähäinen palvelutarve), 2 (lievä palvelutarve), 3 (kohtalainen</w:t>
      </w:r>
      <w:r w:rsidR="00F85B01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palvelutarve), 4 (suuri palvelutarve) ja 5 (erittäin suuri palvelutarve). Arviointia tehdään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kokonaisvaltaisesti testein, haastatteluin ja havainnoin yhteistyössä asiakkaan ja/tai hänen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edustajansa kanssa.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</w:p>
    <w:p w:rsidR="009D2638" w:rsidRPr="009D2638" w:rsidRDefault="009D2638" w:rsidP="006F45D3">
      <w:pPr>
        <w:ind w:left="360"/>
        <w:jc w:val="both"/>
        <w:rPr>
          <w:rStyle w:val="fontstyle21"/>
          <w:rFonts w:asciiTheme="minorHAnsi" w:hAnsiTheme="minorHAnsi"/>
          <w:sz w:val="6"/>
          <w:szCs w:val="6"/>
        </w:rPr>
      </w:pPr>
    </w:p>
    <w:p w:rsidR="006F45D3" w:rsidRPr="00A21468" w:rsidRDefault="00F36BDB" w:rsidP="006F45D3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 xml:space="preserve">Tehostetun palveluasumisen viitteellinen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MAPLe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>-arvo on pääsääntöisesti vähintään 4 ja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MAPLe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 xml:space="preserve"> mittarin ohella huomioidaan ja tukena käytetään seuraa ns. tarkistuslistaa.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Arvioinnissa voidaan käyttää myös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RAIn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 xml:space="preserve"> terveydentilan vakautta kuvaavaa</w:t>
      </w:r>
      <w:r w:rsidR="006F45D3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CHESS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mittaria.</w:t>
      </w:r>
    </w:p>
    <w:p w:rsidR="006F45D3" w:rsidRPr="00A21468" w:rsidRDefault="00F36BDB" w:rsidP="006F45D3">
      <w:pPr>
        <w:ind w:left="360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</w:p>
    <w:p w:rsidR="0087493A" w:rsidRPr="00A21468" w:rsidRDefault="0087493A" w:rsidP="00E7469B">
      <w:pPr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01"/>
          <w:rFonts w:asciiTheme="minorHAnsi" w:hAnsiTheme="minorHAnsi"/>
          <w:sz w:val="22"/>
          <w:szCs w:val="22"/>
        </w:rPr>
        <w:br w:type="page"/>
      </w:r>
    </w:p>
    <w:p w:rsidR="0064148B" w:rsidRPr="00A21468" w:rsidRDefault="00F36BDB" w:rsidP="0064148B">
      <w:pPr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01"/>
          <w:rFonts w:asciiTheme="minorHAnsi" w:hAnsiTheme="minorHAnsi"/>
          <w:sz w:val="22"/>
          <w:szCs w:val="22"/>
        </w:rPr>
        <w:lastRenderedPageBreak/>
        <w:t xml:space="preserve">Vähintään </w:t>
      </w:r>
      <w:proofErr w:type="spellStart"/>
      <w:r w:rsidRPr="00A21468">
        <w:rPr>
          <w:rStyle w:val="fontstyle01"/>
          <w:rFonts w:asciiTheme="minorHAnsi" w:hAnsiTheme="minorHAnsi"/>
          <w:sz w:val="22"/>
          <w:szCs w:val="22"/>
        </w:rPr>
        <w:t>MAPLe</w:t>
      </w:r>
      <w:proofErr w:type="spellEnd"/>
      <w:r w:rsidRPr="00A21468">
        <w:rPr>
          <w:rStyle w:val="fontstyle01"/>
          <w:rFonts w:asciiTheme="minorHAnsi" w:hAnsiTheme="minorHAnsi"/>
          <w:sz w:val="22"/>
          <w:szCs w:val="22"/>
        </w:rPr>
        <w:t xml:space="preserve"> 4 (suuri palvelutarve) ja lisäksi:</w:t>
      </w:r>
    </w:p>
    <w:p w:rsidR="0030483F" w:rsidRDefault="00F36BDB" w:rsidP="0030483F">
      <w:pPr>
        <w:spacing w:after="0"/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Fonts w:cs="Arial"/>
          <w:b/>
          <w:bCs/>
          <w:color w:val="000000"/>
        </w:rPr>
        <w:br/>
      </w:r>
      <w:r w:rsidR="00E7469B">
        <w:rPr>
          <w:rStyle w:val="fontstyle01"/>
          <w:rFonts w:asciiTheme="minorHAnsi" w:hAnsiTheme="minorHAnsi"/>
          <w:sz w:val="22"/>
          <w:szCs w:val="22"/>
        </w:rPr>
        <w:t xml:space="preserve">Päivittäiset </w:t>
      </w:r>
      <w:r w:rsidRPr="00A21468">
        <w:rPr>
          <w:rStyle w:val="fontstyle01"/>
          <w:rFonts w:asciiTheme="minorHAnsi" w:hAnsiTheme="minorHAnsi"/>
          <w:sz w:val="22"/>
          <w:szCs w:val="22"/>
        </w:rPr>
        <w:t>toiminnot,</w:t>
      </w:r>
      <w:r w:rsidR="00E7469B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01"/>
          <w:rFonts w:asciiTheme="minorHAnsi" w:hAnsiTheme="minorHAnsi"/>
          <w:sz w:val="22"/>
          <w:szCs w:val="22"/>
        </w:rPr>
        <w:t>toimintakyky</w:t>
      </w:r>
      <w:r w:rsidR="00E7469B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(</w:t>
      </w:r>
      <w:r w:rsidRPr="00A21468">
        <w:rPr>
          <w:rStyle w:val="fontstyle01"/>
          <w:rFonts w:asciiTheme="minorHAnsi" w:hAnsiTheme="minorHAnsi"/>
          <w:sz w:val="22"/>
          <w:szCs w:val="22"/>
        </w:rPr>
        <w:t>ADLh4</w:t>
      </w:r>
      <w:r w:rsidR="00E7469B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01"/>
          <w:rFonts w:asciiTheme="minorHAnsi" w:hAnsiTheme="minorHAnsi"/>
          <w:sz w:val="22"/>
          <w:szCs w:val="22"/>
        </w:rPr>
        <w:t>tai</w:t>
      </w:r>
      <w:r w:rsidR="00E7469B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01"/>
          <w:rFonts w:asciiTheme="minorHAnsi" w:hAnsiTheme="minorHAnsi"/>
          <w:sz w:val="22"/>
          <w:szCs w:val="22"/>
        </w:rPr>
        <w:t>enemmän);</w:t>
      </w:r>
      <w:r w:rsidR="00E7469B">
        <w:rPr>
          <w:rStyle w:val="fontstyle01"/>
          <w:rFonts w:asciiTheme="minorHAnsi" w:hAnsiTheme="minorHAnsi"/>
          <w:sz w:val="22"/>
          <w:szCs w:val="22"/>
        </w:rPr>
        <w:t xml:space="preserve"> </w:t>
      </w:r>
    </w:p>
    <w:p w:rsidR="0030483F" w:rsidRDefault="00F36BDB" w:rsidP="0030483F">
      <w:pPr>
        <w:spacing w:after="0"/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henkilöllä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vaikeuksia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lähes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kaikissa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päivittäisissä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toiminnoissa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suoriutumisessa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(pukeutuminen,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peseytyminen,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kotona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liikkuminen,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BB27F8">
        <w:rPr>
          <w:rStyle w:val="fontstyle21"/>
          <w:rFonts w:asciiTheme="minorHAnsi" w:hAnsiTheme="minorHAnsi"/>
          <w:sz w:val="22"/>
          <w:szCs w:val="22"/>
        </w:rPr>
        <w:t>wc</w:t>
      </w:r>
      <w:r w:rsidR="00B54B60">
        <w:rPr>
          <w:rStyle w:val="fontstyle21"/>
          <w:rFonts w:asciiTheme="minorHAnsi" w:hAnsiTheme="minorHAnsi"/>
          <w:sz w:val="22"/>
          <w:szCs w:val="22"/>
        </w:rPr>
        <w:t>-</w:t>
      </w:r>
      <w:r w:rsidRPr="00A21468">
        <w:rPr>
          <w:rStyle w:val="fontstyle21"/>
          <w:rFonts w:asciiTheme="minorHAnsi" w:hAnsiTheme="minorHAnsi"/>
          <w:sz w:val="22"/>
          <w:szCs w:val="22"/>
        </w:rPr>
        <w:t>käynnit,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BB27F8">
        <w:rPr>
          <w:rStyle w:val="fontstyle21"/>
          <w:rFonts w:asciiTheme="minorHAnsi" w:hAnsiTheme="minorHAnsi"/>
          <w:sz w:val="22"/>
          <w:szCs w:val="22"/>
        </w:rPr>
        <w:t>s</w:t>
      </w:r>
      <w:r w:rsidRPr="00A21468">
        <w:rPr>
          <w:rStyle w:val="fontstyle21"/>
          <w:rFonts w:asciiTheme="minorHAnsi" w:hAnsiTheme="minorHAnsi"/>
          <w:sz w:val="22"/>
          <w:szCs w:val="22"/>
        </w:rPr>
        <w:t>iirtyminen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esim.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vuoteesta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pyörätuoliin,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syöminen)</w:t>
      </w:r>
      <w:r w:rsidRPr="00A21468">
        <w:br/>
      </w:r>
      <w:r w:rsidRPr="00A21468">
        <w:rPr>
          <w:rFonts w:cs="Arial"/>
          <w:color w:val="000000"/>
        </w:rPr>
        <w:br/>
      </w:r>
      <w:r w:rsidRPr="00A21468">
        <w:rPr>
          <w:rStyle w:val="fontstyle01"/>
          <w:rFonts w:asciiTheme="minorHAnsi" w:hAnsiTheme="minorHAnsi"/>
          <w:sz w:val="22"/>
          <w:szCs w:val="22"/>
        </w:rPr>
        <w:t xml:space="preserve">Välinetoiminnot </w:t>
      </w:r>
      <w:r w:rsidRPr="00A21468">
        <w:rPr>
          <w:rStyle w:val="fontstyle21"/>
          <w:rFonts w:asciiTheme="minorHAnsi" w:hAnsiTheme="minorHAnsi"/>
          <w:sz w:val="22"/>
          <w:szCs w:val="22"/>
        </w:rPr>
        <w:t>(</w:t>
      </w:r>
      <w:r w:rsidRPr="00A21468">
        <w:rPr>
          <w:rStyle w:val="fontstyle01"/>
          <w:rFonts w:asciiTheme="minorHAnsi" w:hAnsiTheme="minorHAnsi"/>
          <w:sz w:val="22"/>
          <w:szCs w:val="22"/>
        </w:rPr>
        <w:t xml:space="preserve">IADL 6); </w:t>
      </w:r>
    </w:p>
    <w:p w:rsidR="0064148B" w:rsidRDefault="00F36BDB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henkilöllä on vaikeuksia lähes kaikissa asioiden</w:t>
      </w:r>
      <w:r w:rsidR="00BB27F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hoitamiseen ym. IADL </w:t>
      </w:r>
      <w:r w:rsidR="00BB27F8">
        <w:rPr>
          <w:rStyle w:val="fontstyle21"/>
          <w:rFonts w:asciiTheme="minorHAnsi" w:hAnsiTheme="minorHAnsi"/>
          <w:sz w:val="22"/>
          <w:szCs w:val="22"/>
        </w:rPr>
        <w:t>t</w:t>
      </w:r>
      <w:r w:rsidRPr="00A21468">
        <w:rPr>
          <w:rStyle w:val="fontstyle21"/>
          <w:rFonts w:asciiTheme="minorHAnsi" w:hAnsiTheme="minorHAnsi"/>
          <w:sz w:val="22"/>
          <w:szCs w:val="22"/>
        </w:rPr>
        <w:t>oimintoihin liittyvissä toiminnoissa.</w:t>
      </w:r>
    </w:p>
    <w:p w:rsidR="0030483F" w:rsidRPr="00A21468" w:rsidRDefault="0030483F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</w:p>
    <w:p w:rsidR="0030483F" w:rsidRDefault="00F36BDB" w:rsidP="0030483F">
      <w:pPr>
        <w:spacing w:after="0"/>
        <w:ind w:left="357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01"/>
          <w:rFonts w:asciiTheme="minorHAnsi" w:hAnsiTheme="minorHAnsi"/>
          <w:sz w:val="22"/>
          <w:szCs w:val="22"/>
        </w:rPr>
        <w:t>Kognitiivinen toimintakyky (CPS 3 tai enemmän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); </w:t>
      </w:r>
    </w:p>
    <w:p w:rsidR="0064148B" w:rsidRDefault="00F36BDB" w:rsidP="0030483F">
      <w:pPr>
        <w:spacing w:after="0"/>
        <w:ind w:left="357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henkilö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tekee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itsensä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kannalta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epäsuotuisia/turvattomia päätöksiä, jotka vaarantavat hänen terveyttään tai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turvallisuuttaan.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Muisti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heikentynyt,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myös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ymmärretyksi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tuleminen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kyky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proofErr w:type="gramStart"/>
      <w:r w:rsidRPr="00A21468">
        <w:rPr>
          <w:rStyle w:val="fontstyle21"/>
          <w:rFonts w:asciiTheme="minorHAnsi" w:hAnsiTheme="minorHAnsi"/>
          <w:sz w:val="22"/>
          <w:szCs w:val="22"/>
        </w:rPr>
        <w:t>ymmärtää</w:t>
      </w:r>
      <w:proofErr w:type="gramEnd"/>
      <w:r w:rsidRPr="00A21468">
        <w:rPr>
          <w:rStyle w:val="fontstyle21"/>
          <w:rFonts w:asciiTheme="minorHAnsi" w:hAnsiTheme="minorHAnsi"/>
          <w:sz w:val="22"/>
          <w:szCs w:val="22"/>
        </w:rPr>
        <w:t xml:space="preserve"> muita voi olla heikentynyt.</w:t>
      </w:r>
    </w:p>
    <w:p w:rsidR="0030483F" w:rsidRPr="00A21468" w:rsidRDefault="0030483F" w:rsidP="0030483F">
      <w:pPr>
        <w:spacing w:after="0"/>
        <w:ind w:left="357"/>
        <w:jc w:val="both"/>
        <w:rPr>
          <w:rStyle w:val="fontstyle21"/>
          <w:rFonts w:asciiTheme="minorHAnsi" w:hAnsiTheme="minorHAnsi"/>
          <w:sz w:val="22"/>
          <w:szCs w:val="22"/>
        </w:rPr>
      </w:pPr>
    </w:p>
    <w:p w:rsidR="0030483F" w:rsidRDefault="00F36BDB" w:rsidP="0030483F">
      <w:pPr>
        <w:spacing w:after="0"/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01"/>
          <w:rFonts w:asciiTheme="minorHAnsi" w:hAnsiTheme="minorHAnsi"/>
          <w:sz w:val="22"/>
          <w:szCs w:val="22"/>
        </w:rPr>
        <w:t xml:space="preserve">Mieliala ja masennus (DRS 3 tai enemmän); </w:t>
      </w:r>
    </w:p>
    <w:p w:rsidR="0064148B" w:rsidRDefault="00F36BDB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henkilö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kykenemätön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huolehtimaan itsestään, välinpitämätön suhtautuminen omiin asioihin (ei nouse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vuo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teesta, </w:t>
      </w:r>
      <w:r w:rsidRPr="00A21468">
        <w:rPr>
          <w:rStyle w:val="fontstyle21"/>
          <w:rFonts w:asciiTheme="minorHAnsi" w:hAnsiTheme="minorHAnsi"/>
          <w:sz w:val="22"/>
          <w:szCs w:val="22"/>
        </w:rPr>
        <w:t>ei syö). Psyykkinen sairaus, joka ei ole hoidoista huolimatta parantunut,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tai itsetuhoisia ajatuksia.</w:t>
      </w:r>
    </w:p>
    <w:p w:rsidR="0030483F" w:rsidRPr="00A21468" w:rsidRDefault="0030483F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</w:p>
    <w:p w:rsidR="0030483F" w:rsidRDefault="00F36BDB" w:rsidP="0030483F">
      <w:pPr>
        <w:spacing w:after="0"/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01"/>
          <w:rFonts w:asciiTheme="minorHAnsi" w:hAnsiTheme="minorHAnsi"/>
          <w:sz w:val="22"/>
          <w:szCs w:val="22"/>
        </w:rPr>
        <w:t xml:space="preserve">Käytösoireet; </w:t>
      </w:r>
    </w:p>
    <w:p w:rsidR="0064148B" w:rsidRPr="00A21468" w:rsidRDefault="0030483F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mm.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henkilön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karkailu,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vaeltelu,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eksyily,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pitkäaikainen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omaa,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läheisen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henkeä,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turvallisuutta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terveyttä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uhkaava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käytös,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häiritsevä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sotkeminen ja tuhriminen.</w:t>
      </w:r>
    </w:p>
    <w:p w:rsidR="0030483F" w:rsidRDefault="00F36BDB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01"/>
          <w:rFonts w:asciiTheme="minorHAnsi" w:hAnsiTheme="minorHAnsi"/>
          <w:sz w:val="22"/>
          <w:szCs w:val="22"/>
        </w:rPr>
        <w:t>Sosiaalinen toimintakyky/aktiivisuus</w:t>
      </w:r>
      <w:r w:rsidRPr="00A21468">
        <w:rPr>
          <w:rStyle w:val="fontstyle21"/>
          <w:rFonts w:asciiTheme="minorHAnsi" w:hAnsiTheme="minorHAnsi"/>
          <w:sz w:val="22"/>
          <w:szCs w:val="22"/>
        </w:rPr>
        <w:t>;</w:t>
      </w:r>
    </w:p>
    <w:p w:rsidR="0064148B" w:rsidRDefault="00F36BDB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henkilö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vetäytyy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täysin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aktiviteeteistaan,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omaisten/läheisten tukiverkosto on riittämätön, kokee olonsa yksinäiseksi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30483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turvattomaksi ja tämä vaikeuttaa merkittävästi asiakkaan kotona selviytymistä.</w:t>
      </w:r>
    </w:p>
    <w:p w:rsidR="0030483F" w:rsidRPr="00A21468" w:rsidRDefault="0030483F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</w:p>
    <w:p w:rsidR="0030483F" w:rsidRDefault="00F36BDB" w:rsidP="0030483F">
      <w:pPr>
        <w:spacing w:after="0"/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proofErr w:type="spellStart"/>
      <w:r w:rsidRPr="00A21468">
        <w:rPr>
          <w:rStyle w:val="fontstyle01"/>
          <w:rFonts w:asciiTheme="minorHAnsi" w:hAnsiTheme="minorHAnsi"/>
          <w:sz w:val="22"/>
          <w:szCs w:val="22"/>
        </w:rPr>
        <w:t>MAPLe</w:t>
      </w:r>
      <w:proofErr w:type="spellEnd"/>
      <w:r w:rsidRPr="00A21468">
        <w:rPr>
          <w:rStyle w:val="fontstyle01"/>
          <w:rFonts w:asciiTheme="minorHAnsi" w:hAnsiTheme="minorHAnsi"/>
          <w:sz w:val="22"/>
          <w:szCs w:val="22"/>
        </w:rPr>
        <w:t xml:space="preserve"> 1-3, jos CHESS= 3 tai enemmän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; </w:t>
      </w:r>
    </w:p>
    <w:p w:rsidR="0064148B" w:rsidRPr="00A21468" w:rsidRDefault="00F36BDB" w:rsidP="0064148B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henkilön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terveydentila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epävakaa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TAI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poikkeuksellisista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syistä,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kuten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psykoottiset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oireet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(harhaisuus/harhaluuloisuus)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yhdessä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toistuvasti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epävakaan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terveydentilan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kanssa.</w:t>
      </w:r>
      <w:r w:rsidR="0046114F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Siirtymävaiheess</w:t>
      </w:r>
      <w:r w:rsidR="0046114F">
        <w:rPr>
          <w:rStyle w:val="fontstyle21"/>
          <w:rFonts w:asciiTheme="minorHAnsi" w:hAnsiTheme="minorHAnsi"/>
          <w:sz w:val="22"/>
          <w:szCs w:val="22"/>
        </w:rPr>
        <w:t>a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 rinnalla voidaan käyttää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Ravatar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>-sovelluksen RAVA-mittaria.</w:t>
      </w:r>
    </w:p>
    <w:p w:rsidR="0064148B" w:rsidRPr="00A21468" w:rsidRDefault="00F36BDB" w:rsidP="0064148B">
      <w:pPr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01"/>
          <w:rFonts w:asciiTheme="minorHAnsi" w:hAnsiTheme="minorHAnsi"/>
          <w:sz w:val="22"/>
          <w:szCs w:val="22"/>
        </w:rPr>
        <w:t xml:space="preserve">Viitteellinen </w:t>
      </w:r>
      <w:proofErr w:type="spellStart"/>
      <w:r w:rsidRPr="00A21468">
        <w:rPr>
          <w:rStyle w:val="fontstyle01"/>
          <w:rFonts w:asciiTheme="minorHAnsi" w:hAnsiTheme="minorHAnsi"/>
          <w:sz w:val="22"/>
          <w:szCs w:val="22"/>
        </w:rPr>
        <w:t>Rava</w:t>
      </w:r>
      <w:proofErr w:type="spellEnd"/>
      <w:r w:rsidRPr="00A21468">
        <w:rPr>
          <w:rStyle w:val="fontstyle01"/>
          <w:rFonts w:asciiTheme="minorHAnsi" w:hAnsiTheme="minorHAnsi"/>
          <w:sz w:val="22"/>
          <w:szCs w:val="22"/>
        </w:rPr>
        <w:t>-arvo on yli 3</w:t>
      </w:r>
    </w:p>
    <w:p w:rsidR="0064148B" w:rsidRPr="00A21468" w:rsidRDefault="00F36BDB" w:rsidP="0064148B">
      <w:pPr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21468">
        <w:rPr>
          <w:rStyle w:val="fontstyle01"/>
          <w:rFonts w:asciiTheme="minorHAnsi" w:hAnsiTheme="minorHAnsi"/>
          <w:sz w:val="22"/>
          <w:szCs w:val="22"/>
        </w:rPr>
        <w:t>Viitteelliset muistisairauksien testiarvot GDS 4-6/CDR 1-2 /MMSE 20-10</w:t>
      </w:r>
    </w:p>
    <w:p w:rsidR="0064148B" w:rsidRPr="00A21468" w:rsidRDefault="0046114F" w:rsidP="0064148B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Myös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tehostetussa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palveluasumisessa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olevan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palveluasumisen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tarve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voidaan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arvioida uudelleen ja tehdä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uusi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päätös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palvelu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muodosta,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mikäli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toimintakyky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kohenee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pitkäaikaisesti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pysyvästi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palvelumuodonmuutos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edun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mukainen.</w:t>
      </w:r>
    </w:p>
    <w:p w:rsidR="007A66C5" w:rsidRPr="00A21468" w:rsidRDefault="007A66C5" w:rsidP="0064148B">
      <w:pPr>
        <w:ind w:left="360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30483F" w:rsidRDefault="0030483F">
      <w:pPr>
        <w:rPr>
          <w:rStyle w:val="fontstyle01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6"/>
          <w:szCs w:val="26"/>
        </w:rPr>
      </w:pPr>
      <w:r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  <w:br w:type="page"/>
      </w:r>
    </w:p>
    <w:p w:rsidR="0064148B" w:rsidRPr="00B90BAC" w:rsidRDefault="00F36BDB" w:rsidP="00B90BAC">
      <w:pPr>
        <w:pStyle w:val="Otsikko2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</w:pPr>
      <w:bookmarkStart w:id="8" w:name="_Toc6211483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  <w:lastRenderedPageBreak/>
        <w:t>3.4 Lyhytaikainen kuntouttava asuminen (ympärivuorokautinen):</w:t>
      </w:r>
      <w:bookmarkEnd w:id="8"/>
    </w:p>
    <w:p w:rsidR="0064148B" w:rsidRPr="00A21468" w:rsidRDefault="00F36BDB" w:rsidP="0064148B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Lyhytaikaisella kuntouttavalla asumisella tarkoitetaan lyhyttä jaksoa ympärivuorokautisen</w:t>
      </w:r>
      <w:r w:rsidR="0064148B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palveluasumisen tai jaksohoidon yksiköissä. Lyhytaikainen kuntouttava asuminen on</w:t>
      </w:r>
      <w:r w:rsidR="0064148B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tarkoitettu ikäihmiselle, joka tarvitsee</w:t>
      </w:r>
    </w:p>
    <w:p w:rsidR="0064148B" w:rsidRPr="00A21468" w:rsidRDefault="00F36BDB" w:rsidP="0064148B">
      <w:pPr>
        <w:ind w:left="360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•</w:t>
      </w:r>
      <w:r w:rsidR="0064148B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hoivaa ja kuntoutusta sairaalassa olon jälkeen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• jatkokuntoutusta ja hoivaa kuntoutuskeskuksen jakson jatkoksi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• tilapäistä tai säännöllistä vuorohoitoa kotona asumisen ja omaisen jaksamisen tueksi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• kuntoutusta ja hoivaa säännöllisen kotihoidon lisäksi (kodista-kotiin kuntoutusjakso)</w:t>
      </w:r>
      <w:r w:rsidRPr="00A21468"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• pysyväispäätöstä tehostettuun palveluasumiseen odottavat henkilöt</w:t>
      </w:r>
    </w:p>
    <w:p w:rsidR="0064148B" w:rsidRPr="00A21468" w:rsidRDefault="00F36BDB" w:rsidP="0064148B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Lyhytaikaisen kuntouttavan asumisen tavoitteena on arvioida ja vahvistaa ikäihmisen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toimintakykyä ja voimavaroja erityisesti kotona asumisen tueksi ja kotiutumiseen liittyvissä</w:t>
      </w:r>
      <w:r w:rsidR="0064148B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tilanteissa ja siirtää pitkäaikaisen tehostetun palveluasumisen tai laitoshoidon tarvetta.</w:t>
      </w:r>
      <w:r w:rsidR="0064148B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Lyhytaikainen kuntouttava asuminen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sisältää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kuntoutuksen,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ympärivuorokautisen hoivan ja hoidon tehostetun palveluasumisen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sisällönmukaisesti.</w:t>
      </w:r>
      <w:r w:rsidR="00CC4CE2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Lyhytaikaiseen kuntouttavaan asumiseen eivät kuulu lääkkeet ja henkilökohtaiset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hoitotarvikkeet.</w:t>
      </w:r>
    </w:p>
    <w:p w:rsidR="0064148B" w:rsidRPr="00B90BAC" w:rsidRDefault="00F36BDB" w:rsidP="00B90BAC">
      <w:pPr>
        <w:pStyle w:val="Otsikko2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</w:pPr>
      <w:r w:rsidRPr="00CD5B27">
        <w:br/>
      </w:r>
      <w:bookmarkStart w:id="9" w:name="_Toc6211484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26"/>
          <w:szCs w:val="26"/>
        </w:rPr>
        <w:t>3.5 Laitoshoito</w:t>
      </w:r>
      <w:bookmarkEnd w:id="9"/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Pitkäaikaiseen laitoshoitoon asiakas voidaan ohjata vain, mikäli siihen on 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>l</w:t>
      </w:r>
      <w:r w:rsidRPr="00A21468">
        <w:rPr>
          <w:rStyle w:val="fontstyle21"/>
          <w:rFonts w:asciiTheme="minorHAnsi" w:hAnsiTheme="minorHAnsi"/>
          <w:sz w:val="22"/>
          <w:szCs w:val="22"/>
        </w:rPr>
        <w:t>ääketieteelliset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perusteet tai asiakasturvallisuuteen tai potilasturvallisuuteen liittyvät perusteet. Ennen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laitoshoitoon sijoittamista tulee aina selvittää muut vaihtoehdot sekä huolehtia siitä, että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potilaan lääketieteellinen tila on asianmukaisesti selvitetty ja potilas on saanut riittävän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kuntoutuksen (Laki ikääntyneen väestön toimintakyvyn tukemisesta ja iäkkäiden sosiaali</w:t>
      </w:r>
      <w:r w:rsidR="00CC4CE2">
        <w:rPr>
          <w:rStyle w:val="fontstyle21"/>
          <w:rFonts w:asciiTheme="minorHAnsi" w:hAnsiTheme="minorHAnsi"/>
          <w:sz w:val="22"/>
          <w:szCs w:val="22"/>
        </w:rPr>
        <w:t>-</w:t>
      </w:r>
      <w:r w:rsidRPr="00A21468">
        <w:rPr>
          <w:rStyle w:val="fontstyle21"/>
          <w:rFonts w:asciiTheme="minorHAnsi" w:hAnsiTheme="minorHAnsi"/>
          <w:sz w:val="22"/>
          <w:szCs w:val="22"/>
        </w:rPr>
        <w:t>ja terveyspalveluista 980/2012).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Sairaudesta/sairauksista johtuva laitoshoidon tarve voi muodostaa perusteen seuraavissa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tilanteissa:</w:t>
      </w:r>
    </w:p>
    <w:p w:rsidR="00D5319A" w:rsidRPr="00A21468" w:rsidRDefault="0046114F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Useita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samanaikaisia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sairauksia,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jotka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edellyttävät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vaativia,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usein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toistuvia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ennakoimatto</w:t>
      </w:r>
      <w:r w:rsidR="00EE1A2D">
        <w:rPr>
          <w:rStyle w:val="fontstyle21"/>
          <w:rFonts w:asciiTheme="minorHAnsi" w:hAnsiTheme="minorHAnsi"/>
          <w:sz w:val="22"/>
          <w:szCs w:val="22"/>
        </w:rPr>
        <w:t>mia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E1A2D">
        <w:rPr>
          <w:rStyle w:val="fontstyle21"/>
          <w:rFonts w:asciiTheme="minorHAnsi" w:hAnsiTheme="minorHAnsi"/>
          <w:sz w:val="22"/>
          <w:szCs w:val="22"/>
        </w:rPr>
        <w:t>lääketieteellisiä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E1A2D">
        <w:rPr>
          <w:rStyle w:val="fontstyle21"/>
          <w:rFonts w:asciiTheme="minorHAnsi" w:hAnsiTheme="minorHAnsi"/>
          <w:sz w:val="22"/>
          <w:szCs w:val="22"/>
        </w:rPr>
        <w:t>hoitoja.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Vaikeasti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liikuteltava,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vaikeasti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 xml:space="preserve">järjestettävissä oleva tai erityisosaamista vaativa hoito ja/tai hoitovälineistö. 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Sairaan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oman tai muiden ihmisten vakava terveyden tai turvallisuuden vaarantuminen.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(Ikääntyneen laitoshoidon perusteet)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Pitkäaikaista laitoshoitoa järjestään pääsääntöisesti terveydenhuollon yksiköissä (Sosiaali</w:t>
      </w:r>
      <w:r w:rsidR="00EE1A2D">
        <w:rPr>
          <w:rStyle w:val="fontstyle21"/>
          <w:rFonts w:asciiTheme="minorHAnsi" w:hAnsiTheme="minorHAnsi"/>
          <w:sz w:val="22"/>
          <w:szCs w:val="22"/>
        </w:rPr>
        <w:t>-</w:t>
      </w:r>
      <w:r w:rsidRPr="00A21468">
        <w:rPr>
          <w:rStyle w:val="fontstyle21"/>
          <w:rFonts w:asciiTheme="minorHAnsi" w:hAnsiTheme="minorHAnsi"/>
          <w:sz w:val="22"/>
          <w:szCs w:val="22"/>
        </w:rPr>
        <w:t>ja terveysministeriön raportteja ja muistioita 2017:30; Iäkkäiden pitkäaikaisen laitoshoidon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perusteiden alatyöryhmän muistio).</w:t>
      </w:r>
    </w:p>
    <w:p w:rsidR="007A66C5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Sosiaalihuoltolain mukaisesta pitkäaikaisesta laitoshoidosta vanhainkodissa tai muusta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sosiaalihuoltolain mukaisista hoivaosastoista luovutaan rakennemuutoksen edetessä.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Siirtymävaiheessa laitoshoitoa järjestetään jatkuvasti apua, hoivaa ja valvontaa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t</w:t>
      </w:r>
      <w:r w:rsidRPr="00A21468">
        <w:rPr>
          <w:rStyle w:val="fontstyle21"/>
          <w:rFonts w:asciiTheme="minorHAnsi" w:hAnsiTheme="minorHAnsi"/>
          <w:sz w:val="22"/>
          <w:szCs w:val="22"/>
        </w:rPr>
        <w:t>arvitseville. Henkilökuntaa on paikalla ympäri vuorokauden.</w:t>
      </w:r>
    </w:p>
    <w:p w:rsidR="00A21468" w:rsidRDefault="00A21468">
      <w:pPr>
        <w:rPr>
          <w:rStyle w:val="fontstyle01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br w:type="page"/>
      </w:r>
    </w:p>
    <w:p w:rsidR="00D5319A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bookmarkStart w:id="10" w:name="_Toc6211485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lastRenderedPageBreak/>
        <w:t>4. Palveluasumiseen hakeminen, palvelutarpeen arviointi ja päätöksenteko</w:t>
      </w:r>
      <w:bookmarkEnd w:id="10"/>
    </w:p>
    <w:p w:rsidR="00B90BAC" w:rsidRPr="00B90BAC" w:rsidRDefault="00B90BAC" w:rsidP="00B90BAC"/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Asumispalveluja haetaan kirjallisella tai suullisella hakemuksella ja hakemus osoitetaan</w:t>
      </w:r>
      <w:r w:rsidRPr="00A21468">
        <w:rPr>
          <w:rFonts w:cs="Arial"/>
          <w:color w:val="000000"/>
        </w:rPr>
        <w:br/>
      </w:r>
      <w:r w:rsidR="00BB27F8">
        <w:rPr>
          <w:rStyle w:val="fontstyle21"/>
          <w:rFonts w:asciiTheme="minorHAnsi" w:hAnsiTheme="minorHAnsi"/>
          <w:sz w:val="22"/>
          <w:szCs w:val="22"/>
        </w:rPr>
        <w:t>Posion kunnan perusturvalle</w:t>
      </w:r>
      <w:r w:rsidRPr="00A21468">
        <w:rPr>
          <w:rStyle w:val="fontstyle21"/>
          <w:rFonts w:asciiTheme="minorHAnsi" w:hAnsiTheme="minorHAnsi"/>
          <w:sz w:val="22"/>
          <w:szCs w:val="22"/>
        </w:rPr>
        <w:t>. Hakemus tulee olla asiakkaan itsensä tai hänen edustajansa allekirjoittama.</w:t>
      </w:r>
      <w:r w:rsidRPr="00A21468"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Laki ikääntyneen väestön toimintakyvyn tukemisesta sekä iäkkäiden sosiaali- ja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terveyspalveluista edellyttää, että iäkkään henkilön hyvinvointia, terveyttä, toimintakykyä ja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itsenäistä suoriutumista tukevien palveluiden tarve tulee selvittää kokonaisvaltaisesti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yhdessä iäkkään henkilön ja tarvittaessa hänen läheisensä kanssa. Iäkkäällä henkilöllä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tulee olla mahdollisuus vaikuttaa palvelujen sisältöön ja toteuttamistapaan sekä osaltaan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päättää niitä koskevista valinnoista.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Palvelutarpeen arviointiyksikkö arvioi asiakkaan palvelutarpeen laaja-alaisesti ja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monialaisesti. Palvelutarpeen arvioinnin lähtökohtana on asiakkaan ja läheisten ilmaisema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käsitys avun tarpeesta. Palvelutarpeen arviointi sisältää fyysisen, psyykkisen, kognitiivisen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 sosiaalisen toimintakyvyn arvioinnin. Palv</w:t>
      </w:r>
      <w:r w:rsidR="00E7469B">
        <w:rPr>
          <w:rStyle w:val="fontstyle21"/>
          <w:rFonts w:asciiTheme="minorHAnsi" w:hAnsiTheme="minorHAnsi"/>
          <w:sz w:val="22"/>
          <w:szCs w:val="22"/>
        </w:rPr>
        <w:t xml:space="preserve">elutarpeen arviointi tehdään </w:t>
      </w:r>
      <w:r w:rsidRPr="00A21468">
        <w:rPr>
          <w:rStyle w:val="fontstyle21"/>
          <w:rFonts w:asciiTheme="minorHAnsi" w:hAnsiTheme="minorHAnsi"/>
          <w:sz w:val="22"/>
          <w:szCs w:val="22"/>
        </w:rPr>
        <w:t>kunnassa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yhtenäisin mittarein.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 xml:space="preserve">Palvelutarpeen arvioinnissa ja palveluista päätettäessä hyödynnetään RAI 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>–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 toimintakyvyn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arviointimenetelmiä, muistihäiriöisen asiakkaan kohdalla voidaan käyttää myös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erityisesti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muistia arvioivia mittareita (MMSE, CERAD). Siirtymävaiheessa käytetään myös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RAVA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mittaria. Asiakkaaseen otetaan yhteys palvelutarpeen 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>a</w:t>
      </w:r>
      <w:r w:rsidRPr="00A21468">
        <w:rPr>
          <w:rStyle w:val="fontstyle21"/>
          <w:rFonts w:asciiTheme="minorHAnsi" w:hAnsiTheme="minorHAnsi"/>
          <w:sz w:val="22"/>
          <w:szCs w:val="22"/>
        </w:rPr>
        <w:t>rvioimiseksi seitsemän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työpäivän kuluessa yhteydenotosta ja kiireellisissä tapauksissa viipymättä.</w:t>
      </w:r>
    </w:p>
    <w:p w:rsidR="00D5319A" w:rsidRPr="00A21468" w:rsidRDefault="000C5426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 xml:space="preserve">Asiakkaan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tilanteesta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voidaan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pyytää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tarvittaessa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lisäselvityksiä.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Tilanteen</w:t>
      </w:r>
      <w:r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>
        <w:rPr>
          <w:rStyle w:val="fontstyle21"/>
          <w:rFonts w:asciiTheme="minorHAnsi" w:hAnsiTheme="minorHAnsi"/>
          <w:sz w:val="22"/>
          <w:szCs w:val="22"/>
        </w:rPr>
        <w:t xml:space="preserve"> kuntoutumismahdollisuuksien arviointiin varataan riittävästi aikaa ennen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päätöksentekoa.</w:t>
      </w:r>
    </w:p>
    <w:p w:rsidR="00D5319A" w:rsidRPr="00A21468" w:rsidRDefault="005366BA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>Asiakkaan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hoito-,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palvelu-,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kuntoutussuunnitelmia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laadittaessa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huomioidaan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hänen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kielensä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kulttuurinsa mukaiset palvelut ja kartoitetaan muut mm. järjestäjän tukitoiminta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alueella. Saamelais</w:t>
      </w:r>
      <w:r w:rsidR="00CE2806">
        <w:rPr>
          <w:rStyle w:val="fontstyle21"/>
          <w:rFonts w:asciiTheme="minorHAnsi" w:hAnsiTheme="minorHAnsi"/>
          <w:sz w:val="22"/>
          <w:szCs w:val="22"/>
        </w:rPr>
        <w:t>elle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 xml:space="preserve"> asiakkaalle varmistetaan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mahdollisuus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omakieliseen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kommunikointiin ja kulttuurin mukaisiin palveluihin. Asiakkaan arvioinnissa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CE280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varmistettava molemmin puolinen ymmärrys asioista tarvittaessa tulkin välityksellä.</w:t>
      </w:r>
    </w:p>
    <w:p w:rsidR="00D5319A" w:rsidRPr="00A21468" w:rsidRDefault="00E7469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>
        <w:rPr>
          <w:rStyle w:val="fontstyle21"/>
          <w:rFonts w:asciiTheme="minorHAnsi" w:hAnsiTheme="minorHAnsi"/>
          <w:sz w:val="22"/>
          <w:szCs w:val="22"/>
        </w:rPr>
        <w:t>K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unnalla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</w:t>
      </w:r>
      <w:r w:rsidR="00CE2806">
        <w:rPr>
          <w:rStyle w:val="fontstyle21"/>
          <w:rFonts w:asciiTheme="minorHAnsi" w:hAnsiTheme="minorHAnsi"/>
          <w:sz w:val="22"/>
          <w:szCs w:val="22"/>
        </w:rPr>
        <w:t>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yhtenäiset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asumispalv</w:t>
      </w:r>
      <w:r>
        <w:rPr>
          <w:rStyle w:val="fontstyle21"/>
          <w:rFonts w:asciiTheme="minorHAnsi" w:hAnsiTheme="minorHAnsi"/>
          <w:sz w:val="22"/>
          <w:szCs w:val="22"/>
        </w:rPr>
        <w:t>eluiden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>
        <w:rPr>
          <w:rStyle w:val="fontstyle21"/>
          <w:rFonts w:asciiTheme="minorHAnsi" w:hAnsiTheme="minorHAnsi"/>
          <w:sz w:val="22"/>
          <w:szCs w:val="22"/>
        </w:rPr>
        <w:t>myöntämisperusteet.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>
        <w:rPr>
          <w:rStyle w:val="fontstyle21"/>
          <w:rFonts w:asciiTheme="minorHAnsi" w:hAnsiTheme="minorHAnsi"/>
          <w:sz w:val="22"/>
          <w:szCs w:val="22"/>
        </w:rPr>
        <w:t>K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unnan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liikelaitoksen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tehtävä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aina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kirjallinen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päätös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asiakkaalle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myönnetyistä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palveluista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tai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niiden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epäämisestä.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Jos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myöntämiskriteerit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asumispalveluihin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eivät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täyty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tai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asumispalvelu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paikkaa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ei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ole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osoitettavissa,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hakija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tästä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kielteisen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päätöksen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tiedokseen.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Kielteisen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päätöksen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saanut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asiakas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voi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tehdä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uuden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hakemuksen.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Uuden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hakemuksen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voi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myös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aina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tehdä,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jos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tilanne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oleellisesti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muuttuu.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Sekä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kielteiseen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että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myönteiseen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päätökseen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liitetään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F36BDB" w:rsidRPr="00A21468">
        <w:rPr>
          <w:rStyle w:val="fontstyle21"/>
          <w:rFonts w:asciiTheme="minorHAnsi" w:hAnsiTheme="minorHAnsi"/>
          <w:sz w:val="22"/>
          <w:szCs w:val="22"/>
        </w:rPr>
        <w:t>muutoksenhakuohjeet.</w:t>
      </w:r>
    </w:p>
    <w:p w:rsidR="00D5319A" w:rsidRDefault="00F36BDB" w:rsidP="00D5319A">
      <w:pPr>
        <w:ind w:left="360"/>
        <w:jc w:val="both"/>
        <w:rPr>
          <w:rStyle w:val="fontstyle21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Hakijan on ilmoitettava tarjotun paikan vastaanottamisesta mahdollisimman pian;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mielellään viikonaikana. Asiakkaan muuton tulisi tapahtua viivyttelemättä kahden paikan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käyttöä välttäen. Mikäli asiakas kieltäytyy vastaanottamasta tarjottua paikkaa, hänen tulee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tehdä siitä kirjallinen ilmoitus päätöksentekijälle. Asumispalveluiden menettelytapaohjeet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tarkistetaan asiakassetelin osalta valinnanvapauslain sisältöjen</w:t>
      </w:r>
      <w:r>
        <w:rPr>
          <w:rStyle w:val="fontstyle21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edellyttämällä tavalla.</w:t>
      </w:r>
    </w:p>
    <w:p w:rsidR="000C5426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 w:rsidRPr="00CD5B27">
        <w:br/>
      </w:r>
    </w:p>
    <w:p w:rsidR="000C5426" w:rsidRDefault="000C5426">
      <w:pPr>
        <w:rPr>
          <w:rStyle w:val="fontstyle01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br w:type="page"/>
      </w:r>
    </w:p>
    <w:p w:rsidR="00D5319A" w:rsidRPr="00B90BAC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bookmarkStart w:id="11" w:name="_Toc6211486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lastRenderedPageBreak/>
        <w:t>5. Asiakkaan tuleminen asumispalveluihin</w:t>
      </w:r>
      <w:bookmarkEnd w:id="11"/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Kun asiakkaalle on myönnetty asumispalvelut ja hän tulee palveluiden piiriin, hänelle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laaditaan yksilöllinen asiakassuunnitelma; hoito-, palvelu-, ja kuntoutussuunnitelma. Hoitoja palvelusuunnitelman laadintaan osallistuu asumispalvelujen ammattihenkilöstön lisäksi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asiakas ja/tai hänen </w:t>
      </w:r>
      <w:r w:rsidRPr="00A21468">
        <w:rPr>
          <w:rStyle w:val="fontstyle21"/>
          <w:rFonts w:asciiTheme="minorHAnsi" w:hAnsiTheme="minorHAnsi"/>
          <w:sz w:val="22"/>
          <w:szCs w:val="22"/>
        </w:rPr>
        <w:t>omaisensa/läheisensä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sekä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tarvittaessa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hoitoon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osallistuvat muut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tahot. Suunnitelmaan kirjataan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toimintakyky,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auttamismenetelmät, kuntoutumissuunnitelma,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hoidon tavoitteet ja arviointi </w:t>
      </w:r>
      <w:r w:rsidRPr="00A21468">
        <w:rPr>
          <w:rStyle w:val="fontstyle21"/>
          <w:rFonts w:asciiTheme="minorHAnsi" w:hAnsiTheme="minorHAnsi"/>
          <w:sz w:val="22"/>
          <w:szCs w:val="22"/>
        </w:rPr>
        <w:t>sekä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 omat toiveet ja mielipiteet. Asiakakalle nimetään omahoitaja, jonka kanssa voi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asioida luontevasti ja hän auttaa myös yhteydenpidossa läheisiin.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Hoitoa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hoivaa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toteutetaan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asiakassuunnitelman;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hoito</w:t>
      </w:r>
      <w:r w:rsidRPr="00A21468">
        <w:rPr>
          <w:rStyle w:val="fontstyle21"/>
          <w:rFonts w:asciiTheme="minorHAnsi" w:hAnsiTheme="minorHAnsi"/>
          <w:sz w:val="22"/>
          <w:szCs w:val="22"/>
        </w:rPr>
        <w:t>,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palvelu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kuntoutussuunnitelman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mukaisesti.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Asiakkaan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toimintakykyä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arvioidaan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säännöllisesti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oikean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palvelumuodon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arvioimiseksi.</w:t>
      </w:r>
      <w:r w:rsidR="000C5426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Suunnitelma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päivitetään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aina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palvelutarpeen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muuttuessa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tarkistetaan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vähintään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kuuden kuukauden (6 kk) välein. Hoitotyön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yhteenveto laaditaan kuuden kuukauden välein.</w:t>
      </w:r>
    </w:p>
    <w:p w:rsidR="00D5319A" w:rsidRPr="00B90BAC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 w:rsidRPr="00CD5B27">
        <w:br/>
      </w:r>
      <w:bookmarkStart w:id="12" w:name="_Toc6211487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t>6. Palveluista perittävät maksut</w:t>
      </w:r>
      <w:bookmarkEnd w:id="12"/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="00DD3F7A">
        <w:rPr>
          <w:rStyle w:val="fontstyle21"/>
          <w:rFonts w:asciiTheme="minorHAnsi" w:hAnsiTheme="minorHAnsi"/>
          <w:sz w:val="22"/>
          <w:szCs w:val="22"/>
        </w:rPr>
        <w:t>Sosiaali-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terveydenhuollon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asiakasmaksulainsäädäntö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on u</w:t>
      </w:r>
      <w:r w:rsidRPr="00A21468">
        <w:rPr>
          <w:rStyle w:val="fontstyle21"/>
          <w:rFonts w:asciiTheme="minorHAnsi" w:hAnsiTheme="minorHAnsi"/>
          <w:sz w:val="22"/>
          <w:szCs w:val="22"/>
        </w:rPr>
        <w:t>udistumassa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luonnos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hallituksen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esityksestä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uudeksi asiakasmaksulainsäädännöksi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tulossa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lausunnolle</w:t>
      </w:r>
      <w:r w:rsidR="00DD3F7A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toukokuun 2018 aikana.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Sosiaalihuoltolain mukaisten asumispalvelujen asiakasmaksujen määräytymisperusteita ei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ole nyt säädetty asiakasmak</w:t>
      </w:r>
      <w:r w:rsidR="00E7469B">
        <w:rPr>
          <w:rStyle w:val="fontstyle21"/>
          <w:rFonts w:asciiTheme="minorHAnsi" w:hAnsiTheme="minorHAnsi"/>
          <w:sz w:val="22"/>
          <w:szCs w:val="22"/>
        </w:rPr>
        <w:t>sulaissa tai –asetuksessa. Ku</w:t>
      </w:r>
      <w:r w:rsidRPr="00A21468">
        <w:rPr>
          <w:rStyle w:val="fontstyle21"/>
          <w:rFonts w:asciiTheme="minorHAnsi" w:hAnsiTheme="minorHAnsi"/>
          <w:sz w:val="22"/>
          <w:szCs w:val="22"/>
        </w:rPr>
        <w:t>nta määrittää tulevan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asiakasmaksulainsäädännön pohjalta palveluasumisen, lyhytaikaisen kuntouttavan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asumispalvelun ja tukipalvelujen asiakasmaksut.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Pitkäaikaisesta laitoshoidosta peritään asiakasmaksulain ja - asetuksen mukainen maksu.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Laitoshoidon maksu </w:t>
      </w:r>
      <w:r w:rsidRPr="00A21468">
        <w:rPr>
          <w:rStyle w:val="fontstyle21"/>
          <w:rFonts w:asciiTheme="minorHAnsi" w:hAnsiTheme="minorHAnsi"/>
          <w:sz w:val="22"/>
          <w:szCs w:val="22"/>
        </w:rPr>
        <w:t>on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tulosidonnainen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vaatii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tulotietojen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selvittämisen.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Asiakasmaksuja voidaan kohtuullistaa, jotta asiakkaan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tai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kotiin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jäävän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puolison</w:t>
      </w:r>
      <w:r w:rsidR="00EE1A2D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toimeentulo ei vaarannu.</w:t>
      </w:r>
    </w:p>
    <w:p w:rsidR="00D5319A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Vastuuhoitaja/omahoitaja /palveluohjaaja/ huolehtii yhdessä asiakkaan asioidenhoitajan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kanssa siitä, että asiakas saa hänelle kuuluvat ensisijaiset etuudet kuten Kelan hoitotuki ja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asumistuki.</w:t>
      </w:r>
    </w:p>
    <w:p w:rsidR="0087493A" w:rsidRDefault="0087493A">
      <w:pPr>
        <w:rPr>
          <w:rStyle w:val="fontstyle01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br w:type="page"/>
      </w:r>
    </w:p>
    <w:p w:rsidR="00D5319A" w:rsidRPr="00B90BAC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bookmarkStart w:id="13" w:name="_Toc6211488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lastRenderedPageBreak/>
        <w:t>7. Terveyden- ja sairaanhoidon palvelut</w:t>
      </w:r>
      <w:bookmarkEnd w:id="13"/>
    </w:p>
    <w:p w:rsidR="007A66C5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Asiakkaan terveydentilaa seurataan, arvioidaan ja sairauksien hoito toteutetaan lääkärin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ohjeiden mukaisesti ja tarvittaessa yhdessä alueen terveyskeskuksen tai kotisairaalan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kanssa. Asumisyksikössä oleva asiakas on avoterveydenhuollon palvelujen piirissä ja saa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kansanterveyslain mukaisesti lääkäripalvelut. Asiakkaan tulee saada lääkärin tutkimukset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ja hoito äkillisissä sairaustilanteissa. Myös asiakkaiden suun terveydenhuollon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toteutuminen mahdollistetaan. Yksikössä tulee olla mahdollisuus eristystilojen</w:t>
      </w:r>
      <w:r w:rsidR="00D5319A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järjestämiseen esim. epidemian tai infektion saaneiden asiakkaiden hoitamiseksi.</w:t>
      </w:r>
      <w:r w:rsidR="007A66C5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Yksikössä mahdollistetaan asiakkaan saattohoito yhdessä omaisten kanssa.</w:t>
      </w:r>
    </w:p>
    <w:p w:rsidR="007A66C5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Yksiköissä tulee olla ajantasainen ja päivitetty lääkehoitosuunnitelma, jonka mukaan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lääkehoitoa toteutetaan. Lääkehoidossa noud</w:t>
      </w:r>
      <w:r w:rsidR="007A66C5" w:rsidRPr="00A21468">
        <w:rPr>
          <w:rStyle w:val="fontstyle21"/>
          <w:rFonts w:asciiTheme="minorHAnsi" w:hAnsiTheme="minorHAnsi"/>
          <w:sz w:val="22"/>
          <w:szCs w:val="22"/>
        </w:rPr>
        <w:t>atetaan turvallisen lääkehoidon p</w:t>
      </w:r>
      <w:r w:rsidRPr="00A21468">
        <w:rPr>
          <w:rStyle w:val="fontstyle21"/>
          <w:rFonts w:asciiTheme="minorHAnsi" w:hAnsiTheme="minorHAnsi"/>
          <w:sz w:val="22"/>
          <w:szCs w:val="22"/>
        </w:rPr>
        <w:t>eriaatteita</w:t>
      </w:r>
      <w:r w:rsidR="007A66C5" w:rsidRPr="00A21468">
        <w:rPr>
          <w:rStyle w:val="fontstyle21"/>
          <w:rFonts w:asciiTheme="minorHAnsi" w:hAnsiTheme="minorHAnsi"/>
          <w:sz w:val="22"/>
          <w:szCs w:val="22"/>
        </w:rPr>
        <w:t xml:space="preserve">    </w:t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(Opas lääkehoitosuunnitelman tekemiseen sosiaali- ja </w:t>
      </w:r>
      <w:r w:rsidR="007A66C5" w:rsidRPr="00A21468">
        <w:rPr>
          <w:rStyle w:val="fontstyle21"/>
          <w:rFonts w:asciiTheme="minorHAnsi" w:hAnsiTheme="minorHAnsi"/>
          <w:sz w:val="22"/>
          <w:szCs w:val="22"/>
        </w:rPr>
        <w:t>t</w:t>
      </w:r>
      <w:r w:rsidRPr="00A21468">
        <w:rPr>
          <w:rStyle w:val="fontstyle21"/>
          <w:rFonts w:asciiTheme="minorHAnsi" w:hAnsiTheme="minorHAnsi"/>
          <w:sz w:val="22"/>
          <w:szCs w:val="22"/>
        </w:rPr>
        <w:t>erveydenhuollossa THL 14/2015).</w:t>
      </w:r>
      <w:r w:rsidRPr="00A21468">
        <w:br/>
      </w:r>
    </w:p>
    <w:p w:rsidR="007A66C5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Lääkkeiden annostelu toteutetaan ostopalveluna tai lääkehoitoon koulutetun henkilöstön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toimesta siten kuin Valviran ohjeissa ja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STM:n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 xml:space="preserve"> oppaassa turvallinen lääkehoito on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ohjeistettu. Asiakkaan kokonaislääkitys tulee tarkistaa vähintään puolen vuoden välein.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Yksikössä on oltava sairaanhoitajan koulutuksen saanutta henkilöstöä.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Yksiköissä avustetaan asiakasta apuvälineiden saamisessa. Jos kriteerit apuvälineiden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saamiseksi apuvälineyksikön kautta eivät täyty, hankkivat yksiköt itse riittävät hoitoon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tarvittavat apuvälineet (liikkumisen, siirtymisen apuvälineet, imut jne.)</w:t>
      </w:r>
    </w:p>
    <w:p w:rsidR="007A66C5" w:rsidRPr="00B90BAC" w:rsidRDefault="00F36BDB" w:rsidP="00B90BAC">
      <w:pPr>
        <w:pStyle w:val="Otsikko1"/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</w:pPr>
      <w:r w:rsidRPr="00CD5B27">
        <w:br/>
      </w:r>
      <w:bookmarkStart w:id="14" w:name="_Toc6211489"/>
      <w:r w:rsidRPr="00B90BAC">
        <w:rPr>
          <w:rStyle w:val="fontstyle01"/>
          <w:rFonts w:asciiTheme="majorHAnsi" w:hAnsiTheme="majorHAnsi" w:cstheme="majorBidi"/>
          <w:b w:val="0"/>
          <w:bCs w:val="0"/>
          <w:color w:val="2E74B5" w:themeColor="accent1" w:themeShade="BF"/>
          <w:sz w:val="32"/>
          <w:szCs w:val="32"/>
        </w:rPr>
        <w:t>8. Henkilöstö</w:t>
      </w:r>
      <w:bookmarkEnd w:id="14"/>
    </w:p>
    <w:p w:rsidR="007A66C5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CD5B27">
        <w:rPr>
          <w:rFonts w:ascii="Arial" w:hAnsi="Arial" w:cs="Arial"/>
          <w:b/>
          <w:bCs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Henkilöstön tulee täyttää lain sosiaalihuollon ammattihenkilöistä (817/2015) mukainen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kelpoisuus. Terveydenhuollon ammattihenkilöstön tulee täyttää terveydenhuollon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ammattihenkilöstön kelpoisuuslain (559/1994) kelpoisuus.</w:t>
      </w:r>
    </w:p>
    <w:p w:rsidR="007A66C5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Toiminnasta vastaavilta henkilöiltä edellytetään lain sosiaalihuollon ammattihenkilöistä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mukaisesti soveltuvaa korkeakoulututkintoa, alan tuntemusta ja riittävää johtamistaitoa.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Lääkehuollosta vastaavien tulee täyttää </w:t>
      </w:r>
      <w:proofErr w:type="spellStart"/>
      <w:r w:rsidRPr="00A21468">
        <w:rPr>
          <w:rStyle w:val="fontstyle21"/>
          <w:rFonts w:asciiTheme="minorHAnsi" w:hAnsiTheme="minorHAnsi"/>
          <w:sz w:val="22"/>
          <w:szCs w:val="22"/>
        </w:rPr>
        <w:t>STM:n</w:t>
      </w:r>
      <w:proofErr w:type="spellEnd"/>
      <w:r w:rsidRPr="00A21468">
        <w:rPr>
          <w:rStyle w:val="fontstyle21"/>
          <w:rFonts w:asciiTheme="minorHAnsi" w:hAnsiTheme="minorHAnsi"/>
          <w:sz w:val="22"/>
          <w:szCs w:val="22"/>
        </w:rPr>
        <w:t xml:space="preserve"> lääkehuollon osaamisesta 2016 annetun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ohjeen mukainen kelpoisuus ja lääkehuoltoon osallistuvilla henkilöillä tulee olla yksikön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lääkehoitosuunnitelman mukaiset lääkehoidon luvat kunnossa. Lääkehoidon opinnot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suoritetaan viiden vuoden välein tai säännösten edellyttämällä tavalla.</w:t>
      </w:r>
    </w:p>
    <w:p w:rsidR="007A66C5" w:rsidRPr="00A21468" w:rsidRDefault="00F36BDB" w:rsidP="00D5319A">
      <w:pPr>
        <w:ind w:left="360"/>
        <w:jc w:val="both"/>
        <w:rPr>
          <w:rStyle w:val="fontstyle21"/>
          <w:rFonts w:asciiTheme="minorHAnsi" w:hAnsiTheme="minorHAnsi"/>
          <w:sz w:val="22"/>
          <w:szCs w:val="22"/>
        </w:rPr>
      </w:pP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Henkilöstömitoitus palveluasumisessa ja tehostetun palveluasumisen yksiköissä vastaa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asiakkaiden palvelutarvetta ja on vähintään voimassa olevien suositusten mukainen.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Henkilöstörakenne ja – määrä määritellään palvelukuvauksissa tarkemmin.</w:t>
      </w:r>
    </w:p>
    <w:p w:rsidR="0087493A" w:rsidRPr="00A21468" w:rsidRDefault="0087493A" w:rsidP="00D5319A">
      <w:pPr>
        <w:ind w:left="360"/>
        <w:jc w:val="both"/>
        <w:rPr>
          <w:rFonts w:cs="Arial"/>
          <w:color w:val="000000"/>
        </w:rPr>
      </w:pPr>
    </w:p>
    <w:p w:rsidR="0087493A" w:rsidRDefault="0087493A" w:rsidP="00D5319A">
      <w:pPr>
        <w:ind w:left="360"/>
        <w:jc w:val="both"/>
        <w:rPr>
          <w:rFonts w:ascii="Arial" w:hAnsi="Arial" w:cs="Arial"/>
          <w:color w:val="000000"/>
        </w:rPr>
      </w:pPr>
    </w:p>
    <w:p w:rsidR="00A21468" w:rsidRDefault="00A21468" w:rsidP="00D5319A">
      <w:pPr>
        <w:ind w:left="360"/>
        <w:jc w:val="both"/>
        <w:rPr>
          <w:rFonts w:ascii="Arial" w:hAnsi="Arial" w:cs="Arial"/>
          <w:color w:val="000000"/>
        </w:rPr>
      </w:pPr>
    </w:p>
    <w:p w:rsidR="00A21468" w:rsidRDefault="00A21468" w:rsidP="00D5319A">
      <w:pPr>
        <w:ind w:left="360"/>
        <w:jc w:val="both"/>
        <w:rPr>
          <w:rFonts w:ascii="Arial" w:hAnsi="Arial" w:cs="Arial"/>
          <w:color w:val="000000"/>
        </w:rPr>
      </w:pPr>
    </w:p>
    <w:p w:rsidR="007A66C5" w:rsidRDefault="00F36BDB" w:rsidP="006E2FE7">
      <w:pPr>
        <w:pStyle w:val="Otsikko1"/>
        <w:rPr>
          <w:rStyle w:val="fontstyle21"/>
          <w:rFonts w:asciiTheme="majorHAnsi" w:hAnsiTheme="majorHAnsi" w:cstheme="majorBidi"/>
          <w:color w:val="2E74B5" w:themeColor="accent1" w:themeShade="BF"/>
          <w:sz w:val="32"/>
          <w:szCs w:val="32"/>
        </w:rPr>
      </w:pPr>
      <w:r w:rsidRPr="00CD5B27">
        <w:rPr>
          <w:rFonts w:ascii="Arial" w:hAnsi="Arial"/>
        </w:rPr>
        <w:lastRenderedPageBreak/>
        <w:br/>
      </w:r>
      <w:bookmarkStart w:id="15" w:name="_Toc6211490"/>
      <w:r w:rsidR="006E2FE7" w:rsidRPr="006E2FE7">
        <w:rPr>
          <w:rStyle w:val="fontstyle21"/>
          <w:rFonts w:asciiTheme="majorHAnsi" w:hAnsiTheme="majorHAnsi" w:cstheme="majorBidi"/>
          <w:color w:val="2E74B5" w:themeColor="accent1" w:themeShade="BF"/>
          <w:sz w:val="32"/>
          <w:szCs w:val="32"/>
        </w:rPr>
        <w:t>LÄHTEET</w:t>
      </w:r>
      <w:bookmarkEnd w:id="15"/>
    </w:p>
    <w:p w:rsidR="00EE1A2D" w:rsidRPr="00EE1A2D" w:rsidRDefault="00EE1A2D" w:rsidP="00EE1A2D"/>
    <w:p w:rsidR="00E26717" w:rsidRPr="00A21468" w:rsidRDefault="00F36BDB" w:rsidP="007A66C5">
      <w:pPr>
        <w:ind w:left="360"/>
        <w:rPr>
          <w:b/>
        </w:rPr>
      </w:pPr>
      <w:r w:rsidRPr="00A21468">
        <w:rPr>
          <w:rStyle w:val="fontstyle21"/>
          <w:rFonts w:asciiTheme="minorHAnsi" w:hAnsiTheme="minorHAnsi"/>
          <w:sz w:val="22"/>
          <w:szCs w:val="22"/>
        </w:rPr>
        <w:t>Sosiaalihuoltolaki 1301/2014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Laki ikääntyneen väestön toimintakyvyn tukemisesta sekä iäkkäiden sosiaali- ja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terveyspalveluista 980/2012 ·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Laatusuositukseen hyvän ikääntymisen turvaamiseksi ja palvelujen parantamiseksi 2017-</w:t>
      </w:r>
      <w:r w:rsidR="007A66C5" w:rsidRPr="00A21468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A21468">
        <w:rPr>
          <w:rStyle w:val="fontstyle21"/>
          <w:rFonts w:asciiTheme="minorHAnsi" w:hAnsiTheme="minorHAnsi"/>
          <w:sz w:val="22"/>
          <w:szCs w:val="22"/>
        </w:rPr>
        <w:t>2019 (STM julkaisuja 2017:6)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 xml:space="preserve">Laki sosiaalihuollon asiakkaan asemasta ja oikeuksista 812/2000 </w:t>
      </w:r>
      <w:r w:rsidRPr="00A21468">
        <w:rPr>
          <w:rStyle w:val="fontstyle31"/>
          <w:rFonts w:asciiTheme="minorHAnsi" w:hAnsiTheme="minorHAnsi"/>
          <w:sz w:val="22"/>
          <w:szCs w:val="22"/>
        </w:rPr>
        <w:t>·</w:t>
      </w:r>
      <w:r w:rsidRPr="00A21468">
        <w:rPr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Laki potilaan asemasta ja oikeuksista 785/1992</w:t>
      </w:r>
      <w:r w:rsidRPr="00A21468">
        <w:rPr>
          <w:rFonts w:cs="Arial"/>
          <w:color w:val="000000"/>
        </w:rPr>
        <w:br/>
      </w:r>
      <w:r w:rsidRPr="00A21468">
        <w:rPr>
          <w:rStyle w:val="fontstyle21"/>
          <w:rFonts w:asciiTheme="minorHAnsi" w:hAnsiTheme="minorHAnsi"/>
          <w:sz w:val="22"/>
          <w:szCs w:val="22"/>
        </w:rPr>
        <w:t>Opas lääkehoitosuunnitelman tekemiseen sosiaali- ja terv</w:t>
      </w:r>
      <w:r w:rsidRPr="00A21468">
        <w:rPr>
          <w:rStyle w:val="fontstyle01"/>
          <w:rFonts w:asciiTheme="minorHAnsi" w:hAnsiTheme="minorHAnsi"/>
          <w:b w:val="0"/>
          <w:sz w:val="22"/>
          <w:szCs w:val="22"/>
        </w:rPr>
        <w:t>eydenhuollossa THL 14/2015</w:t>
      </w:r>
    </w:p>
    <w:sectPr w:rsidR="00E26717" w:rsidRPr="00A21468" w:rsidSect="0087493A">
      <w:footerReference w:type="default" r:id="rId13"/>
      <w:pgSz w:w="11906" w:h="16838"/>
      <w:pgMar w:top="1417" w:right="1134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26" w:rsidRDefault="000C5426" w:rsidP="0087493A">
      <w:pPr>
        <w:spacing w:after="0" w:line="240" w:lineRule="auto"/>
      </w:pPr>
      <w:r>
        <w:separator/>
      </w:r>
    </w:p>
  </w:endnote>
  <w:endnote w:type="continuationSeparator" w:id="0">
    <w:p w:rsidR="000C5426" w:rsidRDefault="000C5426" w:rsidP="0087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550219"/>
      <w:docPartObj>
        <w:docPartGallery w:val="Page Numbers (Bottom of Page)"/>
        <w:docPartUnique/>
      </w:docPartObj>
    </w:sdtPr>
    <w:sdtEndPr/>
    <w:sdtContent>
      <w:p w:rsidR="000C5426" w:rsidRDefault="000C5426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BF">
          <w:rPr>
            <w:noProof/>
          </w:rPr>
          <w:t>12</w:t>
        </w:r>
        <w:r>
          <w:fldChar w:fldCharType="end"/>
        </w:r>
      </w:p>
    </w:sdtContent>
  </w:sdt>
  <w:p w:rsidR="000C5426" w:rsidRDefault="000C542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26" w:rsidRDefault="000C5426" w:rsidP="0087493A">
      <w:pPr>
        <w:spacing w:after="0" w:line="240" w:lineRule="auto"/>
      </w:pPr>
      <w:r>
        <w:separator/>
      </w:r>
    </w:p>
  </w:footnote>
  <w:footnote w:type="continuationSeparator" w:id="0">
    <w:p w:rsidR="000C5426" w:rsidRDefault="000C5426" w:rsidP="0087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50"/>
    <w:multiLevelType w:val="hybridMultilevel"/>
    <w:tmpl w:val="33525E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DB"/>
    <w:rsid w:val="00052C95"/>
    <w:rsid w:val="000C5426"/>
    <w:rsid w:val="0030483F"/>
    <w:rsid w:val="0046114F"/>
    <w:rsid w:val="004A7FD1"/>
    <w:rsid w:val="004E4252"/>
    <w:rsid w:val="005366BA"/>
    <w:rsid w:val="0064148B"/>
    <w:rsid w:val="006A24BF"/>
    <w:rsid w:val="006E2FE7"/>
    <w:rsid w:val="006F45D3"/>
    <w:rsid w:val="007A66C5"/>
    <w:rsid w:val="0087493A"/>
    <w:rsid w:val="00917E4F"/>
    <w:rsid w:val="00956A14"/>
    <w:rsid w:val="009A6729"/>
    <w:rsid w:val="009D2638"/>
    <w:rsid w:val="00A21468"/>
    <w:rsid w:val="00B54B60"/>
    <w:rsid w:val="00B90BAC"/>
    <w:rsid w:val="00BA6576"/>
    <w:rsid w:val="00BB27F8"/>
    <w:rsid w:val="00C04472"/>
    <w:rsid w:val="00CC4CE2"/>
    <w:rsid w:val="00CD5B27"/>
    <w:rsid w:val="00CE2806"/>
    <w:rsid w:val="00CE6AEB"/>
    <w:rsid w:val="00D5319A"/>
    <w:rsid w:val="00D779B2"/>
    <w:rsid w:val="00DD3F7A"/>
    <w:rsid w:val="00E26717"/>
    <w:rsid w:val="00E7469B"/>
    <w:rsid w:val="00EE1A2D"/>
    <w:rsid w:val="00F36BDB"/>
    <w:rsid w:val="00F51400"/>
    <w:rsid w:val="00F659C8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6364"/>
  <w15:chartTrackingRefBased/>
  <w15:docId w15:val="{41E198AE-30B6-41A7-8701-626B02B8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90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90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fontstyle01">
    <w:name w:val="fontstyle01"/>
    <w:basedOn w:val="Kappaleenoletusfontti"/>
    <w:rsid w:val="00F36BD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Kappaleenoletusfontti"/>
    <w:rsid w:val="00F36BD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Kappaleenoletusfontti"/>
    <w:rsid w:val="00F36B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Eivli">
    <w:name w:val="No Spacing"/>
    <w:link w:val="EivliChar"/>
    <w:uiPriority w:val="1"/>
    <w:qFormat/>
    <w:rsid w:val="00F36BDB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F36BDB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CD5B2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B90B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B90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874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7493A"/>
  </w:style>
  <w:style w:type="paragraph" w:styleId="Alatunniste">
    <w:name w:val="footer"/>
    <w:basedOn w:val="Normaali"/>
    <w:link w:val="AlatunnisteChar"/>
    <w:uiPriority w:val="99"/>
    <w:unhideWhenUsed/>
    <w:rsid w:val="00874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7493A"/>
  </w:style>
  <w:style w:type="paragraph" w:styleId="Sisllysluettelonotsikko">
    <w:name w:val="TOC Heading"/>
    <w:basedOn w:val="Otsikko1"/>
    <w:next w:val="Normaali"/>
    <w:uiPriority w:val="39"/>
    <w:unhideWhenUsed/>
    <w:qFormat/>
    <w:rsid w:val="0087493A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7493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7493A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7493A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2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1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sio.f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>Sairaalatie 2 97900 Posio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15B6F1-1E3C-45AF-87BB-04554A5D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2780</Words>
  <Characters>22521</Characters>
  <Application>Microsoft Office Word</Application>
  <DocSecurity>0</DocSecurity>
  <Lines>187</Lines>
  <Paragraphs>50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Ikäihmisten sosiaalihuoltolain mukaisten asumispalveluiden ja laitoshoidon myöntämisen perusteet</vt:lpstr>
    </vt:vector>
  </TitlesOfParts>
  <Company>Posion kunta</Company>
  <LinksUpToDate>false</LinksUpToDate>
  <CharactersWithSpaces>25251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Ikäihmisten sosiaalihuoltolain mukaisten asumispalveluiden ja laitoshoidon myöntämisen perusteet</dc:title>
  <dc:subject>Pohjautuvat I&amp;O kärkihankkeeseen</dc:subject>
  <dc:creator>Paloniemi Marjo</dc:creator>
  <cp:keywords/>
  <dc:description/>
  <cp:lastModifiedBy>Paloniemi Marjo</cp:lastModifiedBy>
  <cp:revision>4</cp:revision>
  <cp:lastPrinted>2019-04-08T07:06:00Z</cp:lastPrinted>
  <dcterms:created xsi:type="dcterms:W3CDTF">2019-04-12T13:02:00Z</dcterms:created>
  <dcterms:modified xsi:type="dcterms:W3CDTF">2022-06-02T12:38:00Z</dcterms:modified>
</cp:coreProperties>
</file>